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F7" w:rsidRPr="00B22DF7" w:rsidRDefault="00B22DF7" w:rsidP="00B22DF7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noProof/>
          <w:color w:val="4A4A4A"/>
          <w:sz w:val="36"/>
          <w:szCs w:val="36"/>
          <w:bdr w:val="none" w:sz="0" w:space="0" w:color="auto" w:frame="1"/>
        </w:rPr>
        <w:drawing>
          <wp:inline distT="0" distB="0" distL="0" distR="0">
            <wp:extent cx="3381375" cy="2143125"/>
            <wp:effectExtent l="0" t="0" r="9525" b="9525"/>
            <wp:docPr id="3" name="Picture 3" descr="WSLHA 2016 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LHA 2016 Conferenc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DF7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br/>
      </w:r>
      <w:r w:rsidRPr="00B22DF7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br/>
      </w:r>
    </w:p>
    <w:p w:rsidR="00B22DF7" w:rsidRPr="00B22DF7" w:rsidRDefault="00B22DF7" w:rsidP="00B22DF7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t>WSLHA Annual Convention</w:t>
      </w:r>
      <w:r w:rsidRPr="00B22DF7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br/>
      </w:r>
      <w:r w:rsidRPr="00B22DF7">
        <w:rPr>
          <w:rFonts w:ascii="Arial" w:eastAsia="Times New Roman" w:hAnsi="Arial" w:cs="Arial"/>
          <w:b/>
          <w:bCs/>
          <w:color w:val="4A4A4A"/>
          <w:sz w:val="36"/>
          <w:szCs w:val="36"/>
          <w:bdr w:val="none" w:sz="0" w:space="0" w:color="auto" w:frame="1"/>
        </w:rPr>
        <w:br/>
      </w:r>
    </w:p>
    <w:p w:rsidR="00B22DF7" w:rsidRPr="00B22DF7" w:rsidRDefault="00B22DF7" w:rsidP="00B22DF7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i/>
          <w:iCs/>
          <w:color w:val="4A4A4A"/>
          <w:sz w:val="21"/>
          <w:szCs w:val="21"/>
          <w:bdr w:val="none" w:sz="0" w:space="0" w:color="auto" w:frame="1"/>
        </w:rPr>
        <w:t>Creating Connections - Building Bridges</w:t>
      </w:r>
      <w:r w:rsidRPr="00B22DF7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</w:rPr>
        <w:br/>
      </w:r>
    </w:p>
    <w:p w:rsidR="00B22DF7" w:rsidRPr="00B22DF7" w:rsidRDefault="00B22DF7" w:rsidP="00B22DF7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color w:val="4A4A4A"/>
          <w:sz w:val="21"/>
          <w:szCs w:val="21"/>
          <w:bdr w:val="none" w:sz="0" w:space="0" w:color="auto" w:frame="1"/>
        </w:rPr>
        <w:t>October 13 - 15, 2016 | Hotel Murano Conference Center, Tacoma, WA</w:t>
      </w:r>
    </w:p>
    <w:p w:rsidR="00B22DF7" w:rsidRPr="00B22DF7" w:rsidRDefault="00B22DF7" w:rsidP="00B22DF7">
      <w:pPr>
        <w:spacing w:after="360" w:line="510" w:lineRule="atLeast"/>
        <w:jc w:val="center"/>
        <w:outlineLvl w:val="0"/>
        <w:rPr>
          <w:rFonts w:ascii="Arial" w:eastAsia="Times New Roman" w:hAnsi="Arial" w:cs="Arial"/>
          <w:b/>
          <w:bCs/>
          <w:color w:val="292B78"/>
          <w:kern w:val="36"/>
          <w:sz w:val="36"/>
          <w:szCs w:val="36"/>
        </w:rPr>
      </w:pPr>
      <w:r w:rsidRPr="00B22DF7">
        <w:rPr>
          <w:rFonts w:ascii="Arial" w:eastAsia="Times New Roman" w:hAnsi="Arial" w:cs="Arial"/>
          <w:b/>
          <w:bCs/>
          <w:color w:val="292B78"/>
          <w:kern w:val="36"/>
          <w:sz w:val="36"/>
          <w:szCs w:val="36"/>
        </w:rPr>
        <w:br/>
        <w:t>Thank you for attending the 2016 Convention!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color w:val="4A4A4A"/>
          <w:sz w:val="23"/>
          <w:szCs w:val="23"/>
          <w:u w:val="single"/>
          <w:bdr w:val="none" w:sz="0" w:space="0" w:color="auto" w:frame="1"/>
        </w:rPr>
        <w:t>Member Pricing</w:t>
      </w:r>
      <w:r w:rsidRPr="00B22DF7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br/>
        <w:t>Full Convention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t> 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SLP Member - $295.00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SLPA/Para-Professional Member- $220.00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*Student Member - $65.00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t>One Day Only: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t> 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SLP Member - $195.00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SLPA/Para-Professional Member - $140.00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*Student Member - $35.00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color w:val="4A4A4A"/>
          <w:sz w:val="23"/>
          <w:szCs w:val="23"/>
          <w:u w:val="single"/>
          <w:bdr w:val="none" w:sz="0" w:space="0" w:color="auto" w:frame="1"/>
        </w:rPr>
        <w:t>Non-Member Pricing</w:t>
      </w:r>
      <w:r w:rsidRPr="00B22DF7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br/>
      </w:r>
      <w:r w:rsidRPr="00B22DF7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Full Convention: </w:t>
      </w:r>
      <w:r w:rsidRPr="00B22DF7">
        <w:rPr>
          <w:rFonts w:ascii="Arial" w:eastAsia="Times New Roman" w:hAnsi="Arial" w:cs="Arial"/>
          <w:b/>
          <w:bCs/>
          <w:color w:val="4A4A4A"/>
          <w:sz w:val="20"/>
          <w:szCs w:val="20"/>
          <w:bdr w:val="none" w:sz="0" w:space="0" w:color="auto" w:frame="1"/>
        </w:rPr>
        <w:br/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t>SLP Non-Member - $405.00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SLPA/Para-Professional Non-Member - $245.00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Student Non-Member - $90.00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t>One Day Only:</w:t>
      </w:r>
      <w:r w:rsidRPr="00B22DF7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br/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t>SLP Non-Member - $265.00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SLPA/Para-Professional Non-Member - $150.00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Student Non-Member - $45.00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color w:val="4A4A4A"/>
          <w:sz w:val="23"/>
          <w:szCs w:val="23"/>
        </w:rPr>
        <w:t>Members of MSHA, ISHA, OSHA, BCSHA, WOTA and PTWA can register at member rates by contacting the </w:t>
      </w:r>
      <w:hyperlink r:id="rId5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t>WSLHA office</w:t>
        </w:r>
      </w:hyperlink>
      <w:r w:rsidRPr="00B22DF7">
        <w:rPr>
          <w:rFonts w:ascii="Arial" w:eastAsia="Times New Roman" w:hAnsi="Arial" w:cs="Arial"/>
          <w:color w:val="4A4A4A"/>
          <w:sz w:val="23"/>
          <w:szCs w:val="23"/>
        </w:rPr>
        <w:t>. 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lastRenderedPageBreak/>
        <w:t>*Students interested in volunteering at the convention should contact </w:t>
      </w:r>
      <w:hyperlink r:id="rId6" w:tgtFrame="_blank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t>Nancy Alarcon</w:t>
        </w:r>
      </w:hyperlink>
      <w:r w:rsidRPr="00B22DF7">
        <w:rPr>
          <w:rFonts w:ascii="Arial" w:eastAsia="Times New Roman" w:hAnsi="Arial" w:cs="Arial"/>
          <w:color w:val="4A4A4A"/>
          <w:sz w:val="23"/>
          <w:szCs w:val="23"/>
        </w:rPr>
        <w:t> before registering.</w:t>
      </w:r>
    </w:p>
    <w:p w:rsidR="00B22DF7" w:rsidRPr="00B22DF7" w:rsidRDefault="00B22DF7" w:rsidP="00B22DF7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color w:val="4A4A4A"/>
          <w:sz w:val="23"/>
          <w:szCs w:val="23"/>
        </w:rPr>
        <w:t>Register by August 19th and receive a 10% discount on registration fees!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t>Continuing Education Information</w:t>
      </w:r>
    </w:p>
    <w:p w:rsidR="00B22DF7" w:rsidRPr="00B22DF7" w:rsidRDefault="00B22DF7" w:rsidP="00B22DF7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color w:val="4A4A4A"/>
          <w:sz w:val="23"/>
          <w:szCs w:val="23"/>
        </w:rPr>
        <w:t>This course is offered for up to 1.55ASHA CEUs (Various levels, Professional area)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color w:val="4A4A4A"/>
          <w:sz w:val="20"/>
          <w:szCs w:val="20"/>
          <w:bdr w:val="none" w:sz="0" w:space="0" w:color="auto" w:frame="1"/>
        </w:rPr>
        <w:t>State Clock Hours up to 15.5 CECHs and ASHA CEUs are processed free for WSLHA members.</w:t>
      </w:r>
    </w:p>
    <w:p w:rsidR="00B22DF7" w:rsidRPr="00B22DF7" w:rsidRDefault="00B22DF7" w:rsidP="00B22DF7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proofErr w:type="spellStart"/>
      <w:r w:rsidRPr="00B22DF7">
        <w:rPr>
          <w:rFonts w:ascii="Arial" w:eastAsia="Times New Roman" w:hAnsi="Arial" w:cs="Arial"/>
          <w:color w:val="4A4A4A"/>
          <w:sz w:val="23"/>
          <w:szCs w:val="23"/>
        </w:rPr>
        <w:t>Non members</w:t>
      </w:r>
      <w:proofErr w:type="spellEnd"/>
      <w:r w:rsidRPr="00B22DF7">
        <w:rPr>
          <w:rFonts w:ascii="Arial" w:eastAsia="Times New Roman" w:hAnsi="Arial" w:cs="Arial"/>
          <w:color w:val="4A4A4A"/>
          <w:sz w:val="23"/>
          <w:szCs w:val="23"/>
        </w:rPr>
        <w:t xml:space="preserve"> will pay a processing fee at the convention. CECHs $10.00 / CEUs $15.00.</w:t>
      </w:r>
    </w:p>
    <w:p w:rsidR="00B22DF7" w:rsidRPr="00B22DF7" w:rsidRDefault="00B22DF7" w:rsidP="00B22DF7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color w:val="4A4A4A"/>
          <w:sz w:val="23"/>
          <w:szCs w:val="23"/>
        </w:rPr>
        <w:t>Please bring checks payable to WSLHA. Please bring your ASHA number.</w:t>
      </w:r>
    </w:p>
    <w:p w:rsidR="00B22DF7" w:rsidRPr="00B22DF7" w:rsidRDefault="00B22DF7" w:rsidP="00B22DF7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</w:rPr>
        <w:t>Pre-registration is closed. Walk-ins are welcome.</w:t>
      </w:r>
    </w:p>
    <w:p w:rsidR="00B22DF7" w:rsidRPr="00B22DF7" w:rsidRDefault="00B22DF7" w:rsidP="00B22DF7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22DF7">
        <w:rPr>
          <w:rFonts w:ascii="Arial" w:eastAsia="Times New Roman" w:hAnsi="Arial" w:cs="Arial"/>
          <w:b/>
          <w:bCs/>
          <w:color w:val="4A4A4A"/>
          <w:sz w:val="18"/>
          <w:szCs w:val="18"/>
        </w:rPr>
        <w:t>Venue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7" w:tgtFrame="_blank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br/>
        </w:r>
      </w:hyperlink>
      <w:hyperlink r:id="rId8" w:tgtFrame="_blank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t>Hotel Murano</w:t>
        </w:r>
      </w:hyperlink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1320 Broadway Plaza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Tacoma, WA 98042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  <w:t>253-238-8000</w:t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br/>
      </w:r>
      <w:hyperlink r:id="rId9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t>info@hotelmuranotacoma.com</w:t>
        </w:r>
      </w:hyperlink>
    </w:p>
    <w:p w:rsidR="00B22DF7" w:rsidRPr="00B22DF7" w:rsidRDefault="00B22DF7" w:rsidP="00B22DF7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22DF7">
        <w:rPr>
          <w:rFonts w:ascii="Arial" w:eastAsia="Times New Roman" w:hAnsi="Arial" w:cs="Arial"/>
          <w:b/>
          <w:bCs/>
          <w:color w:val="4A4A4A"/>
          <w:sz w:val="18"/>
          <w:szCs w:val="18"/>
        </w:rPr>
        <w:t>Convention Program &amp; Schedule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10" w:tgtFrame="_blank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br/>
        </w:r>
      </w:hyperlink>
      <w:hyperlink r:id="rId11" w:tgtFrame="_blank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t>Convention Schedule</w:t>
        </w:r>
      </w:hyperlink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12" w:tgtFrame="_blank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t>Abstracts, Objectives, and Bios</w:t>
        </w:r>
      </w:hyperlink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13" w:tgtFrame="_blank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t>Planners and Presenters Disclosures</w:t>
        </w:r>
      </w:hyperlink>
      <w:hyperlink r:id="rId14" w:tgtFrame="_blank" w:history="1">
        <w:r w:rsidRPr="00B22DF7">
          <w:rPr>
            <w:rFonts w:ascii="Arial" w:eastAsia="Times New Roman" w:hAnsi="Arial" w:cs="Arial"/>
            <w:color w:val="292B78"/>
            <w:sz w:val="23"/>
            <w:szCs w:val="23"/>
            <w:u w:val="single"/>
            <w:bdr w:val="none" w:sz="0" w:space="0" w:color="auto" w:frame="1"/>
          </w:rPr>
          <w:br/>
        </w:r>
      </w:hyperlink>
      <w:hyperlink r:id="rId15" w:history="1">
        <w:r w:rsidRPr="00B22DF7">
          <w:rPr>
            <w:rFonts w:ascii="Arial" w:eastAsia="Times New Roman" w:hAnsi="Arial" w:cs="Arial"/>
            <w:color w:val="292B78"/>
            <w:sz w:val="20"/>
            <w:szCs w:val="20"/>
            <w:u w:val="single"/>
            <w:bdr w:val="none" w:sz="0" w:space="0" w:color="auto" w:frame="1"/>
          </w:rPr>
          <w:br/>
        </w:r>
      </w:hyperlink>
    </w:p>
    <w:p w:rsidR="00B22DF7" w:rsidRPr="00B22DF7" w:rsidRDefault="00B22DF7" w:rsidP="00B22DF7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22DF7">
        <w:rPr>
          <w:rFonts w:ascii="Arial" w:eastAsia="Times New Roman" w:hAnsi="Arial" w:cs="Arial"/>
          <w:b/>
          <w:bCs/>
          <w:color w:val="4A4A4A"/>
          <w:sz w:val="18"/>
          <w:szCs w:val="18"/>
        </w:rPr>
        <w:t>Sponsors &amp; Exhibitors</w:t>
      </w:r>
    </w:p>
    <w:p w:rsidR="00B22DF7" w:rsidRPr="00B22DF7" w:rsidRDefault="00B22DF7" w:rsidP="00B22DF7">
      <w:pPr>
        <w:spacing w:after="0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hyperlink r:id="rId16" w:history="1">
        <w:r w:rsidRPr="00B22DF7">
          <w:rPr>
            <w:rFonts w:ascii="Arial" w:eastAsia="Times New Roman" w:hAnsi="Arial" w:cs="Arial"/>
            <w:color w:val="292B78"/>
            <w:sz w:val="20"/>
            <w:szCs w:val="20"/>
            <w:u w:val="single"/>
            <w:bdr w:val="none" w:sz="0" w:space="0" w:color="auto" w:frame="1"/>
          </w:rPr>
          <w:br/>
          <w:t>2016 Convention Exhibitor Information</w:t>
        </w:r>
      </w:hyperlink>
    </w:p>
    <w:p w:rsidR="00B22DF7" w:rsidRPr="00B22DF7" w:rsidRDefault="00B22DF7" w:rsidP="00B22DF7">
      <w:pPr>
        <w:spacing w:after="150" w:line="240" w:lineRule="auto"/>
        <w:outlineLvl w:val="4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22DF7">
        <w:rPr>
          <w:rFonts w:ascii="Arial" w:eastAsia="Times New Roman" w:hAnsi="Arial" w:cs="Arial"/>
          <w:b/>
          <w:bCs/>
          <w:color w:val="4A4A4A"/>
          <w:sz w:val="18"/>
          <w:szCs w:val="18"/>
        </w:rPr>
        <w:t>Thank You to our Sponsors</w:t>
      </w:r>
    </w:p>
    <w:p w:rsidR="00B22DF7" w:rsidRPr="00B22DF7" w:rsidRDefault="00B22DF7" w:rsidP="00B22DF7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B22DF7">
        <w:rPr>
          <w:rFonts w:ascii="Arial" w:eastAsia="Times New Roman" w:hAnsi="Arial" w:cs="Arial"/>
          <w:noProof/>
          <w:color w:val="4A4A4A"/>
          <w:sz w:val="23"/>
          <w:szCs w:val="23"/>
        </w:rPr>
        <w:drawing>
          <wp:inline distT="0" distB="0" distL="0" distR="0">
            <wp:extent cx="2381250" cy="1200150"/>
            <wp:effectExtent l="0" t="0" r="0" b="0"/>
            <wp:docPr id="2" name="Picture 2" descr="https://wsha.memberclicks.net/assets/sponsor-logos/wsu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sha.memberclicks.net/assets/sponsor-logos/wsu_20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DF7">
        <w:rPr>
          <w:rFonts w:ascii="Arial" w:eastAsia="Times New Roman" w:hAnsi="Arial" w:cs="Arial"/>
          <w:color w:val="4A4A4A"/>
          <w:sz w:val="23"/>
          <w:szCs w:val="23"/>
        </w:rPr>
        <w:t>     </w:t>
      </w:r>
      <w:r w:rsidRPr="00B22DF7">
        <w:rPr>
          <w:rFonts w:ascii="Arial" w:eastAsia="Times New Roman" w:hAnsi="Arial" w:cs="Arial"/>
          <w:noProof/>
          <w:color w:val="4A4A4A"/>
          <w:sz w:val="23"/>
          <w:szCs w:val="23"/>
        </w:rPr>
        <w:drawing>
          <wp:inline distT="0" distB="0" distL="0" distR="0">
            <wp:extent cx="2000250" cy="1495425"/>
            <wp:effectExtent l="0" t="0" r="0" b="9525"/>
            <wp:docPr id="1" name="Picture 1" descr="https://wsha.memberclicks.net/assets/sponsor-logos/2016_wslha_sponsor_nw_f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sha.memberclicks.net/assets/sponsor-logos/2016_wslha_sponsor_nw_fe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D2" w:rsidRDefault="00B11BD2">
      <w:bookmarkStart w:id="0" w:name="_GoBack"/>
      <w:bookmarkEnd w:id="0"/>
    </w:p>
    <w:sectPr w:rsidR="00B1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F7"/>
    <w:rsid w:val="00B11BD2"/>
    <w:rsid w:val="00B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181C7-A8A6-422C-968E-A091E7EC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2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22D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D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22DF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22DF7"/>
    <w:rPr>
      <w:b/>
      <w:bCs/>
    </w:rPr>
  </w:style>
  <w:style w:type="character" w:styleId="Emphasis">
    <w:name w:val="Emphasis"/>
    <w:basedOn w:val="DefaultParagraphFont"/>
    <w:uiPriority w:val="20"/>
    <w:qFormat/>
    <w:rsid w:val="00B22D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2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s.ihotelier.com/Hotel-Murano/bookings.jsp?hotelID=15048&amp;groupID=1542609" TargetMode="External"/><Relationship Id="rId13" Type="http://schemas.openxmlformats.org/officeDocument/2006/relationships/hyperlink" Target="https://wsha.memberclicks.net/assets/ConventionFiles/2016/2016_wslha_convention_disclosures_9.6.pdf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hotelmuranotacoma.com/" TargetMode="External"/><Relationship Id="rId12" Type="http://schemas.openxmlformats.org/officeDocument/2006/relationships/hyperlink" Target="https://wsha.memberclicks.net/assets/ConventionFiles/2016/2016_wslha_abstracts_9.6.pdf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sha.memberclicks.net/2016-convention-exhibitor-informatio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larcon@uw.edu" TargetMode="External"/><Relationship Id="rId11" Type="http://schemas.openxmlformats.org/officeDocument/2006/relationships/hyperlink" Target="https://wsha.memberclicks.net/assets/ConventionFiles/2016/2016_wslha_convention_schedule_091206.pdf" TargetMode="External"/><Relationship Id="rId5" Type="http://schemas.openxmlformats.org/officeDocument/2006/relationships/hyperlink" Target="mailto:office@wslha.org" TargetMode="External"/><Relationship Id="rId15" Type="http://schemas.openxmlformats.org/officeDocument/2006/relationships/hyperlink" Target="https://wsha.memberclicks.net/2016-convention-exhibitor-information" TargetMode="External"/><Relationship Id="rId10" Type="http://schemas.openxmlformats.org/officeDocument/2006/relationships/hyperlink" Target="https://wsha.memberclicks.net/assets/ConventionFiles/2016/2016_wslha_convention_schedule.pd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hotelmuranotacoma.com" TargetMode="External"/><Relationship Id="rId14" Type="http://schemas.openxmlformats.org/officeDocument/2006/relationships/hyperlink" Target="https://wsha.memberclicks.net/assets/ConventionFiles/2016/2016_wslha_convention_disclos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LaDeaux</dc:creator>
  <cp:keywords/>
  <dc:description/>
  <cp:lastModifiedBy>Samantha LaDeaux</cp:lastModifiedBy>
  <cp:revision>1</cp:revision>
  <dcterms:created xsi:type="dcterms:W3CDTF">2019-03-22T18:43:00Z</dcterms:created>
  <dcterms:modified xsi:type="dcterms:W3CDTF">2019-03-22T18:44:00Z</dcterms:modified>
</cp:coreProperties>
</file>