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6330A" w14:textId="77777777" w:rsidR="006A7A25" w:rsidRDefault="006A7A25" w:rsidP="006A7A25">
      <w:pPr>
        <w:ind w:left="-5" w:right="20"/>
        <w:rPr>
          <w:rFonts w:asciiTheme="minorHAnsi" w:hAnsiTheme="minorHAnsi" w:cstheme="minorHAnsi"/>
          <w:sz w:val="24"/>
        </w:rPr>
      </w:pPr>
    </w:p>
    <w:p w14:paraId="0FDE86DB" w14:textId="58CE12C5" w:rsidR="00DB5D9D" w:rsidRPr="00DB5D9D" w:rsidRDefault="006A7A25" w:rsidP="00DB5D9D">
      <w:pPr>
        <w:spacing w:after="0" w:line="240" w:lineRule="auto"/>
        <w:ind w:left="0" w:firstLine="0"/>
        <w:rPr>
          <w:rFonts w:ascii="Open Sans" w:hAnsi="Open Sans" w:cs="Open Sans"/>
          <w:color w:val="4A4A4A"/>
          <w:sz w:val="27"/>
          <w:szCs w:val="27"/>
        </w:rPr>
      </w:pPr>
      <w:r w:rsidRPr="00892D17">
        <w:rPr>
          <w:rFonts w:ascii="Arial" w:hAnsi="Arial" w:cs="Arial"/>
          <w:noProof/>
          <w:sz w:val="22"/>
          <w:szCs w:val="22"/>
          <w:bdr w:val="none" w:sz="0" w:space="0" w:color="auto" w:frame="1"/>
        </w:rPr>
        <w:drawing>
          <wp:inline distT="0" distB="0" distL="0" distR="0" wp14:anchorId="0148C0DB" wp14:editId="5F1B3140">
            <wp:extent cx="2211070" cy="780415"/>
            <wp:effectExtent l="0" t="0" r="0" b="0"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981" cy="80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D9D">
        <w:rPr>
          <w:rFonts w:asciiTheme="minorHAnsi" w:hAnsiTheme="minorHAnsi" w:cstheme="minorHAnsi"/>
          <w:sz w:val="24"/>
        </w:rPr>
        <w:tab/>
      </w:r>
      <w:r w:rsidR="00DB5D9D">
        <w:rPr>
          <w:rFonts w:asciiTheme="minorHAnsi" w:hAnsiTheme="minorHAnsi" w:cstheme="minorHAnsi"/>
          <w:sz w:val="24"/>
        </w:rPr>
        <w:tab/>
      </w:r>
      <w:r w:rsidR="00DB5D9D">
        <w:rPr>
          <w:rFonts w:asciiTheme="minorHAnsi" w:hAnsiTheme="minorHAnsi" w:cstheme="minorHAnsi"/>
          <w:sz w:val="24"/>
        </w:rPr>
        <w:tab/>
      </w:r>
      <w:r w:rsidR="00DB5D9D">
        <w:rPr>
          <w:rFonts w:asciiTheme="minorHAnsi" w:hAnsiTheme="minorHAnsi" w:cstheme="minorHAnsi"/>
          <w:sz w:val="24"/>
        </w:rPr>
        <w:tab/>
      </w:r>
    </w:p>
    <w:p w14:paraId="66E83B0D" w14:textId="77777777" w:rsidR="00DB5D9D" w:rsidRPr="00DB5D9D" w:rsidRDefault="00DB5D9D" w:rsidP="00DB5D9D">
      <w:pPr>
        <w:spacing w:after="0" w:line="240" w:lineRule="auto"/>
        <w:ind w:left="0" w:firstLine="0"/>
        <w:rPr>
          <w:rFonts w:ascii="Open Sans" w:hAnsi="Open Sans" w:cs="Open Sans"/>
          <w:color w:val="4A4A4A"/>
          <w:sz w:val="27"/>
          <w:szCs w:val="27"/>
        </w:rPr>
      </w:pPr>
    </w:p>
    <w:p w14:paraId="670AA470" w14:textId="74B307F9" w:rsidR="006A7A25" w:rsidRDefault="00E256EC" w:rsidP="006A7A25">
      <w:pPr>
        <w:ind w:left="-5" w:right="20"/>
        <w:rPr>
          <w:rFonts w:asciiTheme="minorHAnsi" w:hAnsiTheme="minorHAnsi" w:cstheme="minorHAnsi"/>
          <w:sz w:val="24"/>
        </w:rPr>
      </w:pPr>
      <w:r w:rsidRPr="00DB5D9D">
        <w:rPr>
          <w:rFonts w:ascii="Open Sans" w:hAnsi="Open Sans" w:cs="Open Sans"/>
          <w:color w:val="4A4A4A"/>
          <w:sz w:val="27"/>
          <w:szCs w:val="27"/>
        </w:rPr>
        <w:fldChar w:fldCharType="begin"/>
      </w:r>
      <w:r w:rsidRPr="00DB5D9D">
        <w:rPr>
          <w:rFonts w:ascii="Open Sans" w:hAnsi="Open Sans" w:cs="Open Sans"/>
          <w:color w:val="4A4A4A"/>
          <w:sz w:val="27"/>
          <w:szCs w:val="27"/>
        </w:rPr>
        <w:instrText xml:space="preserve"> INCLUDEPICTURE "https://www.washingtonaudiology.org/static/img/logo.png" \* MERGEFORMATINET </w:instrText>
      </w:r>
      <w:r w:rsidRPr="00DB5D9D">
        <w:rPr>
          <w:rFonts w:ascii="Open Sans" w:hAnsi="Open Sans" w:cs="Open Sans"/>
          <w:color w:val="4A4A4A"/>
          <w:sz w:val="27"/>
          <w:szCs w:val="27"/>
        </w:rPr>
        <w:fldChar w:fldCharType="separate"/>
      </w:r>
      <w:r w:rsidRPr="00DB5D9D">
        <w:rPr>
          <w:rFonts w:ascii="Open Sans" w:hAnsi="Open Sans" w:cs="Open Sans"/>
          <w:noProof/>
          <w:color w:val="4A4A4A"/>
          <w:sz w:val="27"/>
          <w:szCs w:val="27"/>
        </w:rPr>
        <w:drawing>
          <wp:inline distT="0" distB="0" distL="0" distR="0" wp14:anchorId="1345D7B1" wp14:editId="5AFC98EE">
            <wp:extent cx="2277593" cy="710418"/>
            <wp:effectExtent l="0" t="0" r="0" b="127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02" cy="74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D9D">
        <w:rPr>
          <w:rFonts w:ascii="Open Sans" w:hAnsi="Open Sans" w:cs="Open Sans"/>
          <w:color w:val="4A4A4A"/>
          <w:sz w:val="27"/>
          <w:szCs w:val="27"/>
        </w:rPr>
        <w:fldChar w:fldCharType="end"/>
      </w:r>
    </w:p>
    <w:p w14:paraId="54688838" w14:textId="77777777" w:rsidR="006A7A25" w:rsidRDefault="006A7A25" w:rsidP="00E256EC">
      <w:pPr>
        <w:ind w:left="0" w:right="20" w:firstLine="0"/>
        <w:rPr>
          <w:rFonts w:asciiTheme="minorHAnsi" w:hAnsiTheme="minorHAnsi" w:cstheme="minorHAnsi"/>
          <w:sz w:val="24"/>
        </w:rPr>
      </w:pPr>
    </w:p>
    <w:p w14:paraId="79202D96" w14:textId="3C318FDB" w:rsidR="00F444BC" w:rsidRPr="00F444BC" w:rsidRDefault="00F444BC" w:rsidP="006A7A25">
      <w:pPr>
        <w:ind w:left="-5"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>January 14, 2022</w:t>
      </w:r>
    </w:p>
    <w:p w14:paraId="6281D4E4" w14:textId="77777777" w:rsidR="00F444BC" w:rsidRPr="00F444BC" w:rsidRDefault="00F444BC" w:rsidP="00F444BC">
      <w:pPr>
        <w:spacing w:after="0" w:line="259" w:lineRule="auto"/>
        <w:ind w:left="0" w:firstLine="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  </w:t>
      </w:r>
    </w:p>
    <w:p w14:paraId="29D12358" w14:textId="77777777" w:rsidR="00F444BC" w:rsidRPr="00F444BC" w:rsidRDefault="00F444BC" w:rsidP="00F444BC">
      <w:pPr>
        <w:ind w:left="-5"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Janet Woodcock, MD </w:t>
      </w:r>
    </w:p>
    <w:p w14:paraId="5745ABC0" w14:textId="77777777" w:rsidR="00F444BC" w:rsidRPr="00F444BC" w:rsidRDefault="00F444BC" w:rsidP="00F444BC">
      <w:pPr>
        <w:ind w:left="-5"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Acting Commissioner </w:t>
      </w:r>
    </w:p>
    <w:p w14:paraId="26DADB37" w14:textId="77777777" w:rsidR="00F444BC" w:rsidRPr="00F444BC" w:rsidRDefault="00F444BC" w:rsidP="00F444BC">
      <w:pPr>
        <w:ind w:left="-5"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Food and Drug Administration </w:t>
      </w:r>
    </w:p>
    <w:p w14:paraId="35188720" w14:textId="77777777" w:rsidR="00F444BC" w:rsidRPr="00F444BC" w:rsidRDefault="00F444BC" w:rsidP="00F444BC">
      <w:pPr>
        <w:ind w:left="-5"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5630 Fishers Lane, Rm 1061 </w:t>
      </w:r>
    </w:p>
    <w:p w14:paraId="0904AEAB" w14:textId="77777777" w:rsidR="00F444BC" w:rsidRPr="00F444BC" w:rsidRDefault="00F444BC" w:rsidP="00F444BC">
      <w:pPr>
        <w:ind w:left="-5"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Rockville, MD 20852 </w:t>
      </w:r>
    </w:p>
    <w:p w14:paraId="13AD9A02" w14:textId="77777777" w:rsidR="00F444BC" w:rsidRPr="00F444BC" w:rsidRDefault="00F444BC" w:rsidP="00F444BC">
      <w:pPr>
        <w:spacing w:after="0" w:line="259" w:lineRule="auto"/>
        <w:ind w:left="0" w:firstLine="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  </w:t>
      </w:r>
    </w:p>
    <w:p w14:paraId="640F210E" w14:textId="3C01550C" w:rsidR="00F444BC" w:rsidRPr="00F444BC" w:rsidRDefault="00F444BC" w:rsidP="00EE02D4">
      <w:pPr>
        <w:tabs>
          <w:tab w:val="right" w:pos="9415"/>
        </w:tabs>
        <w:ind w:left="-15" w:firstLine="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RE:    Docket No. FDA-2021-M-0555, RIN 0910-AI21, Medical Devices; Ear Nose, and Throat Devices; Establishing Over-the-Counter Hearing Aids </w:t>
      </w:r>
    </w:p>
    <w:p w14:paraId="33740FFF" w14:textId="77777777" w:rsidR="00F444BC" w:rsidRPr="00F444BC" w:rsidRDefault="00F444BC" w:rsidP="00F444BC">
      <w:pPr>
        <w:ind w:right="20"/>
        <w:rPr>
          <w:rFonts w:asciiTheme="minorHAnsi" w:hAnsiTheme="minorHAnsi" w:cstheme="minorHAnsi"/>
          <w:sz w:val="24"/>
        </w:rPr>
      </w:pPr>
    </w:p>
    <w:p w14:paraId="0696716C" w14:textId="77777777" w:rsidR="00F444BC" w:rsidRPr="00F444BC" w:rsidRDefault="00F444BC" w:rsidP="00F444BC">
      <w:pPr>
        <w:ind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Comments submitted electronically via www.regulations.gov </w:t>
      </w:r>
    </w:p>
    <w:p w14:paraId="5489F029" w14:textId="77777777" w:rsidR="00F444BC" w:rsidRPr="00F444BC" w:rsidRDefault="00F444BC" w:rsidP="00F444BC">
      <w:pPr>
        <w:spacing w:after="0" w:line="259" w:lineRule="auto"/>
        <w:ind w:left="0" w:firstLine="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  </w:t>
      </w:r>
    </w:p>
    <w:p w14:paraId="4ACF2A03" w14:textId="77777777" w:rsidR="00F444BC" w:rsidRPr="00F444BC" w:rsidRDefault="00F444BC" w:rsidP="00F444BC">
      <w:pPr>
        <w:ind w:left="-5" w:right="2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Dear Commissioner Woodcock: </w:t>
      </w:r>
    </w:p>
    <w:p w14:paraId="088B9C1F" w14:textId="77777777" w:rsidR="00F444BC" w:rsidRPr="00F444BC" w:rsidRDefault="00F444BC" w:rsidP="00F444BC">
      <w:pPr>
        <w:spacing w:after="0" w:line="259" w:lineRule="auto"/>
        <w:ind w:left="0" w:firstLine="0"/>
        <w:rPr>
          <w:rFonts w:asciiTheme="minorHAnsi" w:hAnsiTheme="minorHAnsi" w:cstheme="minorHAnsi"/>
          <w:sz w:val="24"/>
        </w:rPr>
      </w:pPr>
      <w:r w:rsidRPr="00F444BC">
        <w:rPr>
          <w:rFonts w:asciiTheme="minorHAnsi" w:hAnsiTheme="minorHAnsi" w:cstheme="minorHAnsi"/>
          <w:sz w:val="24"/>
        </w:rPr>
        <w:t xml:space="preserve"> </w:t>
      </w:r>
    </w:p>
    <w:p w14:paraId="32807B0D" w14:textId="148D53D2" w:rsidR="001D24E5" w:rsidRPr="00E8176B" w:rsidRDefault="00F444BC" w:rsidP="00E8176B">
      <w:pPr>
        <w:ind w:left="-5" w:right="20"/>
        <w:rPr>
          <w:rFonts w:asciiTheme="minorHAnsi" w:hAnsiTheme="minorHAnsi" w:cstheme="minorHAnsi"/>
          <w:sz w:val="24"/>
        </w:rPr>
      </w:pPr>
      <w:r w:rsidRPr="00E8176B">
        <w:rPr>
          <w:rFonts w:asciiTheme="minorHAnsi" w:hAnsiTheme="minorHAnsi" w:cstheme="minorHAnsi"/>
          <w:sz w:val="24"/>
        </w:rPr>
        <w:t xml:space="preserve">On behalf of the Washington State Academy of Audiology (WSAA) and the Washington Speech-Language-Hearing Association (WSLHA), we are providing comments on the proposed rule, Medical Devices; Ear, Nose and Throat Devices; Establishing Over-the-Counter Hearing Aids. </w:t>
      </w:r>
      <w:r w:rsidRPr="00E8176B">
        <w:rPr>
          <w:rFonts w:asciiTheme="minorHAnsi" w:hAnsiTheme="minorHAnsi" w:cstheme="minorHAnsi"/>
          <w:sz w:val="24"/>
        </w:rPr>
        <w:t xml:space="preserve"> Our organizations represent audiologists and speech-language pathologists in Washington</w:t>
      </w:r>
      <w:r w:rsidR="00E256EC">
        <w:rPr>
          <w:rFonts w:asciiTheme="minorHAnsi" w:hAnsiTheme="minorHAnsi" w:cstheme="minorHAnsi"/>
          <w:sz w:val="24"/>
        </w:rPr>
        <w:t xml:space="preserve"> state</w:t>
      </w:r>
      <w:r w:rsidRPr="00E8176B">
        <w:rPr>
          <w:rFonts w:asciiTheme="minorHAnsi" w:hAnsiTheme="minorHAnsi" w:cstheme="minorHAnsi"/>
          <w:sz w:val="24"/>
        </w:rPr>
        <w:t xml:space="preserve">.  While we recognize the </w:t>
      </w:r>
      <w:r w:rsidR="001D24E5" w:rsidRPr="00E8176B">
        <w:rPr>
          <w:rFonts w:asciiTheme="minorHAnsi" w:hAnsiTheme="minorHAnsi" w:cstheme="minorHAnsi"/>
          <w:sz w:val="24"/>
        </w:rPr>
        <w:t>Food &amp;</w:t>
      </w:r>
      <w:r w:rsidRPr="00E8176B">
        <w:rPr>
          <w:rFonts w:asciiTheme="minorHAnsi" w:hAnsiTheme="minorHAnsi" w:cstheme="minorHAnsi"/>
          <w:sz w:val="24"/>
        </w:rPr>
        <w:t xml:space="preserve"> Drug </w:t>
      </w:r>
      <w:r w:rsidR="001D24E5" w:rsidRPr="00E8176B">
        <w:rPr>
          <w:rFonts w:asciiTheme="minorHAnsi" w:hAnsiTheme="minorHAnsi" w:cstheme="minorHAnsi"/>
          <w:sz w:val="24"/>
        </w:rPr>
        <w:t>Administration’s</w:t>
      </w:r>
      <w:r w:rsidRPr="00E8176B">
        <w:rPr>
          <w:rFonts w:asciiTheme="minorHAnsi" w:hAnsiTheme="minorHAnsi" w:cstheme="minorHAnsi"/>
          <w:sz w:val="24"/>
        </w:rPr>
        <w:t xml:space="preserve"> </w:t>
      </w:r>
      <w:r w:rsidR="00E256EC">
        <w:rPr>
          <w:rFonts w:asciiTheme="minorHAnsi" w:hAnsiTheme="minorHAnsi" w:cstheme="minorHAnsi"/>
          <w:sz w:val="24"/>
        </w:rPr>
        <w:t>(FDA)</w:t>
      </w:r>
      <w:r w:rsidR="00264C4B">
        <w:rPr>
          <w:rFonts w:asciiTheme="minorHAnsi" w:hAnsiTheme="minorHAnsi" w:cstheme="minorHAnsi"/>
          <w:sz w:val="24"/>
        </w:rPr>
        <w:t xml:space="preserve"> </w:t>
      </w:r>
      <w:r w:rsidRPr="00E8176B">
        <w:rPr>
          <w:rFonts w:asciiTheme="minorHAnsi" w:hAnsiTheme="minorHAnsi" w:cstheme="minorHAnsi"/>
          <w:sz w:val="24"/>
        </w:rPr>
        <w:t xml:space="preserve">work on </w:t>
      </w:r>
      <w:proofErr w:type="gramStart"/>
      <w:r w:rsidRPr="00E8176B">
        <w:rPr>
          <w:rFonts w:asciiTheme="minorHAnsi" w:hAnsiTheme="minorHAnsi" w:cstheme="minorHAnsi"/>
          <w:sz w:val="24"/>
        </w:rPr>
        <w:t>rule-making</w:t>
      </w:r>
      <w:proofErr w:type="gramEnd"/>
      <w:r w:rsidRPr="00E8176B">
        <w:rPr>
          <w:rFonts w:asciiTheme="minorHAnsi" w:hAnsiTheme="minorHAnsi" w:cstheme="minorHAnsi"/>
          <w:sz w:val="24"/>
        </w:rPr>
        <w:t xml:space="preserve"> to implement the law regarding </w:t>
      </w:r>
      <w:r w:rsidRPr="00E8176B">
        <w:rPr>
          <w:rFonts w:asciiTheme="minorHAnsi" w:hAnsiTheme="minorHAnsi" w:cstheme="minorHAnsi"/>
          <w:sz w:val="24"/>
        </w:rPr>
        <w:t>over-the-counter (OTC) hearing aids as established by the FDA Reauthorization Act of 2017 (FDARA)</w:t>
      </w:r>
      <w:r w:rsidRPr="00E8176B">
        <w:rPr>
          <w:rFonts w:asciiTheme="minorHAnsi" w:hAnsiTheme="minorHAnsi" w:cstheme="minorHAnsi"/>
          <w:sz w:val="24"/>
        </w:rPr>
        <w:t>, we have concerns that these rules will not adequately protect the consumer and could lead to patient harm</w:t>
      </w:r>
      <w:r w:rsidR="001D24E5" w:rsidRPr="00E8176B">
        <w:rPr>
          <w:rFonts w:asciiTheme="minorHAnsi" w:hAnsiTheme="minorHAnsi" w:cstheme="minorHAnsi"/>
          <w:sz w:val="24"/>
        </w:rPr>
        <w:t xml:space="preserve"> and further hearing loss.</w:t>
      </w:r>
    </w:p>
    <w:p w14:paraId="4EA42F0D" w14:textId="77777777" w:rsidR="001D24E5" w:rsidRPr="001D24E5" w:rsidRDefault="001D24E5" w:rsidP="001D24E5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  <w:r w:rsidRPr="001D24E5">
        <w:rPr>
          <w:rFonts w:asciiTheme="minorHAnsi" w:hAnsiTheme="minorHAnsi" w:cstheme="minorHAnsi"/>
          <w:sz w:val="24"/>
        </w:rPr>
        <w:t> </w:t>
      </w:r>
    </w:p>
    <w:p w14:paraId="4FFBCBB7" w14:textId="2FFB4B2E" w:rsidR="00EE02D4" w:rsidRDefault="001D24E5" w:rsidP="00E8176B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  <w:r w:rsidRPr="001D24E5">
        <w:rPr>
          <w:rFonts w:asciiTheme="minorHAnsi" w:hAnsiTheme="minorHAnsi" w:cstheme="minorHAnsi"/>
          <w:sz w:val="24"/>
        </w:rPr>
        <w:t>We know that hearing impairments are not one size fits all, therefore our solutions can’t be either. OTC hearing aids would require consumers to self-diagnose their level of hearing loss and would face undue risk in using these products if left under-regulated. Consistent with </w:t>
      </w:r>
      <w:hyperlink r:id="rId7" w:tooltip="https://www.asha.org/siteassets/uploadedFiles/Consensus-Paper-From-Hearing-Care-Associations.pdf" w:history="1">
        <w:r w:rsidRPr="001D24E5">
          <w:rPr>
            <w:rFonts w:asciiTheme="minorHAnsi" w:hAnsiTheme="minorHAnsi" w:cstheme="minorHAnsi"/>
            <w:color w:val="0563C1"/>
            <w:sz w:val="24"/>
            <w:u w:val="single"/>
          </w:rPr>
          <w:t>consensu</w:t>
        </w:r>
        <w:r w:rsidRPr="001D24E5">
          <w:rPr>
            <w:rFonts w:asciiTheme="minorHAnsi" w:hAnsiTheme="minorHAnsi" w:cstheme="minorHAnsi"/>
            <w:color w:val="0563C1"/>
            <w:sz w:val="24"/>
            <w:u w:val="single"/>
          </w:rPr>
          <w:t>s</w:t>
        </w:r>
        <w:r w:rsidRPr="001D24E5">
          <w:rPr>
            <w:rFonts w:asciiTheme="minorHAnsi" w:hAnsiTheme="minorHAnsi" w:cstheme="minorHAnsi"/>
            <w:color w:val="0563C1"/>
            <w:sz w:val="24"/>
            <w:u w:val="single"/>
          </w:rPr>
          <w:t xml:space="preserve"> recomm</w:t>
        </w:r>
        <w:r w:rsidRPr="001D24E5">
          <w:rPr>
            <w:rFonts w:asciiTheme="minorHAnsi" w:hAnsiTheme="minorHAnsi" w:cstheme="minorHAnsi"/>
            <w:color w:val="0563C1"/>
            <w:sz w:val="24"/>
            <w:u w:val="single"/>
          </w:rPr>
          <w:t>e</w:t>
        </w:r>
        <w:r w:rsidRPr="001D24E5">
          <w:rPr>
            <w:rFonts w:asciiTheme="minorHAnsi" w:hAnsiTheme="minorHAnsi" w:cstheme="minorHAnsi"/>
            <w:color w:val="0563C1"/>
            <w:sz w:val="24"/>
            <w:u w:val="single"/>
          </w:rPr>
          <w:t>n</w:t>
        </w:r>
        <w:r w:rsidRPr="001D24E5">
          <w:rPr>
            <w:rFonts w:asciiTheme="minorHAnsi" w:hAnsiTheme="minorHAnsi" w:cstheme="minorHAnsi"/>
            <w:color w:val="0563C1"/>
            <w:sz w:val="24"/>
            <w:u w:val="single"/>
          </w:rPr>
          <w:t>dations</w:t>
        </w:r>
      </w:hyperlink>
      <w:r w:rsidRPr="001D24E5">
        <w:rPr>
          <w:rFonts w:asciiTheme="minorHAnsi" w:hAnsiTheme="minorHAnsi" w:cstheme="minorHAnsi"/>
          <w:sz w:val="24"/>
        </w:rPr>
        <w:t> </w:t>
      </w:r>
      <w:r w:rsidR="00E8176B">
        <w:rPr>
          <w:rFonts w:asciiTheme="minorHAnsi" w:hAnsiTheme="minorHAnsi" w:cstheme="minorHAnsi"/>
          <w:sz w:val="24"/>
        </w:rPr>
        <w:t xml:space="preserve"> </w:t>
      </w:r>
      <w:r w:rsidR="00E8176B" w:rsidRPr="001D24E5">
        <w:rPr>
          <w:rFonts w:asciiTheme="minorHAnsi" w:hAnsiTheme="minorHAnsi" w:cstheme="minorHAnsi"/>
          <w:sz w:val="24"/>
        </w:rPr>
        <w:t>developed by professional hearing care association</w:t>
      </w:r>
      <w:r w:rsidR="00E8176B" w:rsidRPr="00E8176B">
        <w:rPr>
          <w:rFonts w:asciiTheme="minorHAnsi" w:hAnsiTheme="minorHAnsi" w:cstheme="minorHAnsi"/>
          <w:sz w:val="24"/>
        </w:rPr>
        <w:t>s, including the American Speech-Language-Hearing Association (ASHA) and the American Academy of Audiology (AAA)</w:t>
      </w:r>
      <w:r w:rsidR="006A7A25">
        <w:rPr>
          <w:rFonts w:asciiTheme="minorHAnsi" w:hAnsiTheme="minorHAnsi" w:cstheme="minorHAnsi"/>
          <w:sz w:val="24"/>
        </w:rPr>
        <w:t xml:space="preserve">, </w:t>
      </w:r>
      <w:r w:rsidR="00E8176B" w:rsidRPr="00E8176B">
        <w:rPr>
          <w:rFonts w:asciiTheme="minorHAnsi" w:hAnsiTheme="minorHAnsi" w:cstheme="minorHAnsi"/>
          <w:sz w:val="24"/>
        </w:rPr>
        <w:t xml:space="preserve">we ask </w:t>
      </w:r>
      <w:r w:rsidR="006A7A25">
        <w:rPr>
          <w:rFonts w:asciiTheme="minorHAnsi" w:hAnsiTheme="minorHAnsi" w:cstheme="minorHAnsi"/>
          <w:sz w:val="24"/>
        </w:rPr>
        <w:t>for the following changes to the rule</w:t>
      </w:r>
      <w:r w:rsidR="00EE02D4">
        <w:rPr>
          <w:rFonts w:asciiTheme="minorHAnsi" w:hAnsiTheme="minorHAnsi" w:cstheme="minorHAnsi"/>
          <w:sz w:val="24"/>
        </w:rPr>
        <w:t>:</w:t>
      </w:r>
    </w:p>
    <w:p w14:paraId="567FDE27" w14:textId="77777777" w:rsidR="006A7A25" w:rsidRDefault="006A7A25" w:rsidP="00E8176B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</w:p>
    <w:p w14:paraId="1BD192B4" w14:textId="0CD56128" w:rsidR="00EE02D4" w:rsidRPr="00264C4B" w:rsidRDefault="00EE02D4" w:rsidP="00EE02D4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auto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>L</w:t>
      </w:r>
      <w:r w:rsidR="00E8176B" w:rsidRPr="00EE02D4">
        <w:rPr>
          <w:rFonts w:asciiTheme="minorHAnsi" w:hAnsiTheme="minorHAnsi" w:cstheme="minorHAnsi"/>
          <w:sz w:val="24"/>
        </w:rPr>
        <w:t>ower the proposed output to 110 dB SPL and establish a gain of 25 dB to protect</w:t>
      </w:r>
      <w:r w:rsidRPr="00EE02D4">
        <w:rPr>
          <w:color w:val="auto"/>
          <w:sz w:val="24"/>
        </w:rPr>
        <w:t xml:space="preserve"> </w:t>
      </w:r>
      <w:r w:rsidRPr="00264C4B">
        <w:rPr>
          <w:rFonts w:asciiTheme="minorHAnsi" w:hAnsiTheme="minorHAnsi" w:cstheme="minorHAnsi"/>
          <w:color w:val="auto"/>
          <w:sz w:val="24"/>
        </w:rPr>
        <w:t>a full-on gain limit of 25 dB</w:t>
      </w:r>
    </w:p>
    <w:p w14:paraId="399FE4A9" w14:textId="70FCE20B" w:rsidR="00EE02D4" w:rsidRPr="00EE02D4" w:rsidRDefault="00EE02D4" w:rsidP="00EE02D4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auto"/>
          <w:sz w:val="24"/>
        </w:rPr>
      </w:pPr>
      <w:r w:rsidRPr="00EE02D4">
        <w:rPr>
          <w:rFonts w:asciiTheme="minorHAnsi" w:hAnsiTheme="minorHAnsi" w:cstheme="minorHAnsi"/>
          <w:color w:val="auto"/>
          <w:sz w:val="24"/>
        </w:rPr>
        <w:t>Require</w:t>
      </w:r>
      <w:r w:rsidRPr="00EE02D4">
        <w:rPr>
          <w:rFonts w:asciiTheme="minorHAnsi" w:hAnsiTheme="minorHAnsi" w:cstheme="minorHAnsi"/>
          <w:color w:val="auto"/>
          <w:sz w:val="24"/>
        </w:rPr>
        <w:t xml:space="preserve"> input compression and volume control for all OTC hearing aids</w:t>
      </w:r>
    </w:p>
    <w:p w14:paraId="24CE584A" w14:textId="77777777" w:rsidR="00EE02D4" w:rsidRPr="00EE02D4" w:rsidRDefault="00EE02D4" w:rsidP="00EE02D4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auto"/>
          <w:sz w:val="24"/>
        </w:rPr>
      </w:pPr>
      <w:r w:rsidRPr="00EE02D4">
        <w:rPr>
          <w:rFonts w:asciiTheme="minorHAnsi" w:hAnsiTheme="minorHAnsi" w:cstheme="minorHAnsi"/>
          <w:color w:val="auto"/>
          <w:sz w:val="24"/>
        </w:rPr>
        <w:t>Define concise, outside‐of‐the‐box labeling appropriate for medical devices sold OTC, with strong recommendation to consult with a hearing health care professional</w:t>
      </w:r>
    </w:p>
    <w:p w14:paraId="12965BFF" w14:textId="77777777" w:rsidR="00EE02D4" w:rsidRPr="00EE02D4" w:rsidRDefault="00EE02D4" w:rsidP="00EE02D4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auto"/>
          <w:sz w:val="24"/>
        </w:rPr>
      </w:pPr>
      <w:r w:rsidRPr="00EE02D4">
        <w:rPr>
          <w:rFonts w:asciiTheme="minorHAnsi" w:hAnsiTheme="minorHAnsi" w:cstheme="minorHAnsi"/>
          <w:color w:val="auto"/>
          <w:sz w:val="24"/>
        </w:rPr>
        <w:t>Define the new OTC category so that it is easily comprehensible by consumers and in line with risk class requirements for safety and effectiveness</w:t>
      </w:r>
    </w:p>
    <w:p w14:paraId="59C243C9" w14:textId="5EA01F23" w:rsidR="00EE02D4" w:rsidRPr="00EE02D4" w:rsidRDefault="00EE02D4" w:rsidP="00EE02D4">
      <w:pPr>
        <w:pStyle w:val="ListParagraph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auto"/>
          <w:sz w:val="24"/>
        </w:rPr>
      </w:pPr>
      <w:r w:rsidRPr="00EE02D4">
        <w:rPr>
          <w:rFonts w:asciiTheme="minorHAnsi" w:hAnsiTheme="minorHAnsi" w:cstheme="minorHAnsi"/>
          <w:color w:val="auto"/>
          <w:sz w:val="24"/>
        </w:rPr>
        <w:t>Clarify the</w:t>
      </w:r>
      <w:r w:rsidRPr="00EE02D4">
        <w:rPr>
          <w:rFonts w:asciiTheme="minorHAnsi" w:hAnsiTheme="minorHAnsi" w:cstheme="minorHAnsi"/>
          <w:color w:val="auto"/>
          <w:sz w:val="24"/>
        </w:rPr>
        <w:t xml:space="preserve"> preemption of state laws and ensuring adequate provisions for consumer protection</w:t>
      </w:r>
    </w:p>
    <w:p w14:paraId="217B2E52" w14:textId="77777777" w:rsidR="00EE02D4" w:rsidRDefault="00EE02D4" w:rsidP="001D24E5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</w:p>
    <w:p w14:paraId="0BADF6DE" w14:textId="1A289224" w:rsidR="001D24E5" w:rsidRDefault="00EE02D4" w:rsidP="001D24E5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Thank you for the opportunity to comment on these important rules.  </w:t>
      </w:r>
    </w:p>
    <w:p w14:paraId="3F2A04E1" w14:textId="4A09FA7D" w:rsidR="00EE02D4" w:rsidRDefault="00EE02D4" w:rsidP="001D24E5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</w:p>
    <w:p w14:paraId="7BDB6393" w14:textId="1291090E" w:rsidR="00EE02D4" w:rsidRDefault="00EE02D4" w:rsidP="001D24E5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Sincerely,</w:t>
      </w:r>
    </w:p>
    <w:p w14:paraId="61151C6D" w14:textId="74926A0F" w:rsidR="00EE02D4" w:rsidRDefault="006A7A25" w:rsidP="001D24E5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  <w:r w:rsidRPr="006A0F82">
        <w:rPr>
          <w:noProof/>
        </w:rPr>
        <w:drawing>
          <wp:inline distT="0" distB="0" distL="0" distR="0" wp14:anchorId="2FFBA4CE" wp14:editId="63EE4747">
            <wp:extent cx="637451" cy="1543822"/>
            <wp:effectExtent l="0" t="0" r="0" b="0"/>
            <wp:docPr id="8" name="Picture 8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ocument&#10;&#10;Description automatically generated"/>
                    <pic:cNvPicPr/>
                  </pic:nvPicPr>
                  <pic:blipFill>
                    <a:blip r:embed="rId8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backgroundMark x1="84217" y1="29146" x2="84217" y2="29146"/>
                                  <a14:backgroundMark x1="83020" y1="46231" x2="85413" y2="5114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408" cy="166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53C9" w14:textId="77777777" w:rsidR="00DB5D9D" w:rsidRPr="00E84045" w:rsidRDefault="00DB5D9D" w:rsidP="00DB5D9D">
      <w:pPr>
        <w:ind w:left="20"/>
        <w:rPr>
          <w:rFonts w:asciiTheme="minorHAnsi" w:hAnsiTheme="minorHAnsi" w:cstheme="minorHAnsi"/>
          <w:sz w:val="24"/>
        </w:rPr>
      </w:pPr>
      <w:r w:rsidRPr="00E84045">
        <w:rPr>
          <w:rFonts w:asciiTheme="minorHAnsi" w:hAnsiTheme="minorHAnsi" w:cstheme="minorHAnsi"/>
          <w:sz w:val="24"/>
        </w:rPr>
        <w:t>Bethany Davis, SLPD, CCC-SLP, CBIS</w:t>
      </w:r>
    </w:p>
    <w:p w14:paraId="7DA8A114" w14:textId="335DFAEC" w:rsidR="00EE02D4" w:rsidRPr="001D24E5" w:rsidRDefault="00DB5D9D" w:rsidP="00DB5D9D">
      <w:pPr>
        <w:spacing w:after="0" w:line="240" w:lineRule="auto"/>
        <w:ind w:left="0" w:firstLine="0"/>
        <w:rPr>
          <w:rFonts w:asciiTheme="minorHAnsi" w:hAnsiTheme="minorHAnsi" w:cstheme="minorHAnsi"/>
          <w:sz w:val="24"/>
        </w:rPr>
      </w:pPr>
      <w:r w:rsidRPr="00E84045">
        <w:rPr>
          <w:rFonts w:asciiTheme="minorHAnsi" w:hAnsiTheme="minorHAnsi" w:cstheme="minorHAnsi"/>
          <w:sz w:val="24"/>
        </w:rPr>
        <w:t>President, WSLHA</w:t>
      </w:r>
    </w:p>
    <w:p w14:paraId="68C4DD1F" w14:textId="77777777" w:rsidR="001D24E5" w:rsidRDefault="001D24E5" w:rsidP="0034163F">
      <w:pPr>
        <w:ind w:left="-5" w:right="20"/>
      </w:pPr>
    </w:p>
    <w:p w14:paraId="0ACB7F1D" w14:textId="3BD7051D" w:rsidR="00F444BC" w:rsidRDefault="00EE27D1" w:rsidP="00F444BC">
      <w:pPr>
        <w:ind w:left="-5" w:right="20"/>
        <w:rPr>
          <w:rFonts w:asciiTheme="minorHAnsi" w:hAnsiTheme="minorHAnsi" w:cstheme="minorHAnsi"/>
          <w:sz w:val="24"/>
        </w:rPr>
      </w:pPr>
      <w:r w:rsidRPr="00955DB8">
        <w:rPr>
          <w:rFonts w:ascii="Calibri" w:hAnsi="Calibri" w:cs="Calibri"/>
          <w:sz w:val="21"/>
          <w:szCs w:val="21"/>
        </w:rPr>
        <w:fldChar w:fldCharType="begin"/>
      </w:r>
      <w:r w:rsidRPr="00955DB8">
        <w:rPr>
          <w:rFonts w:ascii="Calibri" w:hAnsi="Calibri" w:cs="Calibri"/>
          <w:sz w:val="21"/>
          <w:szCs w:val="21"/>
        </w:rPr>
        <w:instrText xml:space="preserve"> INCLUDEPICTURE "/var/folders/mn/_8l003g12tx4268mkb_fytzh0000gn/T/com.microsoft.Word/WebArchiveCopyPasteTempFiles/cAAAAASUVORK5CYII=" \* MERGEFORMATINET </w:instrText>
      </w:r>
      <w:r w:rsidRPr="00955DB8">
        <w:rPr>
          <w:rFonts w:ascii="Calibri" w:hAnsi="Calibri" w:cs="Calibri"/>
          <w:sz w:val="21"/>
          <w:szCs w:val="21"/>
        </w:rPr>
        <w:fldChar w:fldCharType="separate"/>
      </w:r>
      <w:r w:rsidRPr="00955DB8">
        <w:rPr>
          <w:rFonts w:ascii="Calibri" w:hAnsi="Calibri" w:cs="Calibri"/>
          <w:noProof/>
          <w:sz w:val="21"/>
          <w:szCs w:val="21"/>
        </w:rPr>
        <w:drawing>
          <wp:inline distT="0" distB="0" distL="0" distR="0" wp14:anchorId="42EBF570" wp14:editId="7133A399">
            <wp:extent cx="3175000" cy="753533"/>
            <wp:effectExtent l="0" t="0" r="0" b="0"/>
            <wp:docPr id="2" name="Picture 2" descr="Ink Drawings&#10;Ink Drawings&#10;Ink Drawings&#10;Ink Drawings&#10;Ink Drawings&#10;Ink Drawing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k Drawings&#10;Ink Drawings&#10;Ink Drawings&#10;Ink Drawings&#10;Ink Drawings&#10;Ink Drawings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69" cy="7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DB8">
        <w:rPr>
          <w:rFonts w:ascii="Calibri" w:hAnsi="Calibri" w:cs="Calibri"/>
          <w:sz w:val="21"/>
          <w:szCs w:val="21"/>
        </w:rPr>
        <w:fldChar w:fldCharType="end"/>
      </w:r>
    </w:p>
    <w:p w14:paraId="1A77BB5B" w14:textId="7E5B4E13" w:rsidR="00E256EC" w:rsidRDefault="00E256EC" w:rsidP="00F444BC">
      <w:pPr>
        <w:ind w:left="-5" w:right="20"/>
        <w:rPr>
          <w:rFonts w:asciiTheme="minorHAnsi" w:hAnsiTheme="minorHAnsi" w:cstheme="minorHAnsi"/>
          <w:sz w:val="24"/>
        </w:rPr>
      </w:pPr>
    </w:p>
    <w:p w14:paraId="0FCF1BB4" w14:textId="7F1E153B" w:rsidR="00E256EC" w:rsidRDefault="00E256EC" w:rsidP="00EE27D1">
      <w:pPr>
        <w:ind w:left="0" w:right="2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Dustin Spillman, </w:t>
      </w:r>
      <w:proofErr w:type="spellStart"/>
      <w:r>
        <w:rPr>
          <w:rFonts w:asciiTheme="minorHAnsi" w:hAnsiTheme="minorHAnsi" w:cstheme="minorHAnsi"/>
          <w:sz w:val="24"/>
        </w:rPr>
        <w:t>Au</w:t>
      </w:r>
      <w:r w:rsidR="00E84045">
        <w:rPr>
          <w:rFonts w:asciiTheme="minorHAnsi" w:hAnsiTheme="minorHAnsi" w:cstheme="minorHAnsi"/>
          <w:sz w:val="24"/>
        </w:rPr>
        <w:t>.</w:t>
      </w:r>
      <w:r>
        <w:rPr>
          <w:rFonts w:asciiTheme="minorHAnsi" w:hAnsiTheme="minorHAnsi" w:cstheme="minorHAnsi"/>
          <w:sz w:val="24"/>
        </w:rPr>
        <w:t>D</w:t>
      </w:r>
      <w:proofErr w:type="spellEnd"/>
      <w:r w:rsidR="00E84045">
        <w:rPr>
          <w:rFonts w:asciiTheme="minorHAnsi" w:hAnsiTheme="minorHAnsi" w:cstheme="minorHAnsi"/>
          <w:sz w:val="24"/>
        </w:rPr>
        <w:t>.</w:t>
      </w:r>
    </w:p>
    <w:p w14:paraId="793DB595" w14:textId="1C0648A3" w:rsidR="00E84045" w:rsidRPr="00F444BC" w:rsidRDefault="00E84045" w:rsidP="00F444BC">
      <w:pPr>
        <w:ind w:left="-5" w:right="2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President, WSAA</w:t>
      </w:r>
    </w:p>
    <w:p w14:paraId="0BDE78C5" w14:textId="77777777" w:rsidR="00F444BC" w:rsidRPr="00F444BC" w:rsidRDefault="00F444BC" w:rsidP="00F444BC">
      <w:pPr>
        <w:ind w:left="-5" w:right="20"/>
        <w:rPr>
          <w:sz w:val="24"/>
        </w:rPr>
      </w:pPr>
    </w:p>
    <w:p w14:paraId="2D27560A" w14:textId="77777777" w:rsidR="0006338B" w:rsidRDefault="0006338B"/>
    <w:sectPr w:rsidR="0006338B" w:rsidSect="00EC3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8243F"/>
    <w:multiLevelType w:val="hybridMultilevel"/>
    <w:tmpl w:val="56C06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771AC"/>
    <w:multiLevelType w:val="hybridMultilevel"/>
    <w:tmpl w:val="38069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4BC"/>
    <w:rsid w:val="0006338B"/>
    <w:rsid w:val="001D24E5"/>
    <w:rsid w:val="00264C4B"/>
    <w:rsid w:val="0034163F"/>
    <w:rsid w:val="006A7A25"/>
    <w:rsid w:val="00DB5D9D"/>
    <w:rsid w:val="00E256EC"/>
    <w:rsid w:val="00E8176B"/>
    <w:rsid w:val="00E84045"/>
    <w:rsid w:val="00EC3416"/>
    <w:rsid w:val="00EE02D4"/>
    <w:rsid w:val="00EE27D1"/>
    <w:rsid w:val="00F4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46E3E"/>
  <w15:chartTrackingRefBased/>
  <w15:docId w15:val="{AD119B96-7F9B-F046-9F8B-3D27B1AE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4BC"/>
    <w:pPr>
      <w:spacing w:after="5" w:line="248" w:lineRule="auto"/>
      <w:ind w:left="10" w:hanging="1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D24E5"/>
  </w:style>
  <w:style w:type="paragraph" w:styleId="NoSpacing">
    <w:name w:val="No Spacing"/>
    <w:basedOn w:val="Normal"/>
    <w:uiPriority w:val="1"/>
    <w:qFormat/>
    <w:rsid w:val="001D24E5"/>
    <w:pPr>
      <w:spacing w:before="100" w:beforeAutospacing="1" w:after="100" w:afterAutospacing="1" w:line="240" w:lineRule="auto"/>
      <w:ind w:left="0" w:firstLine="0"/>
    </w:pPr>
    <w:rPr>
      <w:color w:val="auto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1D24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1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203">
          <w:marLeft w:val="0"/>
          <w:marRight w:val="0"/>
          <w:marTop w:val="0"/>
          <w:marBottom w:val="0"/>
          <w:divBdr>
            <w:top w:val="single" w:sz="2" w:space="0" w:color="AFBAAB"/>
            <w:left w:val="single" w:sz="2" w:space="0" w:color="AFBAAB"/>
            <w:bottom w:val="single" w:sz="2" w:space="0" w:color="AFBAAB"/>
            <w:right w:val="single" w:sz="2" w:space="0" w:color="AFBAAB"/>
          </w:divBdr>
        </w:div>
        <w:div w:id="1462335841">
          <w:marLeft w:val="0"/>
          <w:marRight w:val="0"/>
          <w:marTop w:val="0"/>
          <w:marBottom w:val="0"/>
          <w:divBdr>
            <w:top w:val="single" w:sz="2" w:space="0" w:color="AFBAAB"/>
            <w:left w:val="single" w:sz="2" w:space="0" w:color="AFBAAB"/>
            <w:bottom w:val="single" w:sz="2" w:space="0" w:color="AFBAAB"/>
            <w:right w:val="single" w:sz="2" w:space="0" w:color="AFBAAB"/>
          </w:divBdr>
        </w:div>
      </w:divsChild>
    </w:div>
    <w:div w:id="8792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asha.org/siteassets/uploadedFiles/Consensus-Paper-From-Hearing-Care-Associations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Johnson</dc:creator>
  <cp:keywords/>
  <dc:description/>
  <cp:lastModifiedBy>Melissa Johnson</cp:lastModifiedBy>
  <cp:revision>4</cp:revision>
  <dcterms:created xsi:type="dcterms:W3CDTF">2022-01-14T22:29:00Z</dcterms:created>
  <dcterms:modified xsi:type="dcterms:W3CDTF">2022-01-17T18:49:00Z</dcterms:modified>
</cp:coreProperties>
</file>