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5D13C" w14:textId="69E7D26B" w:rsidR="00CE4AAF" w:rsidRPr="00CE4AAF" w:rsidRDefault="0028443C">
      <w:pPr>
        <w:pStyle w:val="Title"/>
        <w:rPr>
          <w:sz w:val="36"/>
          <w:szCs w:val="36"/>
        </w:rPr>
      </w:pPr>
      <w:r>
        <w:rPr>
          <w:sz w:val="36"/>
          <w:szCs w:val="36"/>
        </w:rPr>
        <w:t xml:space="preserve">Capitol News </w:t>
      </w:r>
    </w:p>
    <w:p w14:paraId="3B8AA094" w14:textId="77777777" w:rsidR="00CE4AAF" w:rsidRPr="00CE4AAF" w:rsidRDefault="00CE4AAF">
      <w:pPr>
        <w:pStyle w:val="Title"/>
        <w:rPr>
          <w:sz w:val="36"/>
          <w:szCs w:val="36"/>
        </w:rPr>
      </w:pPr>
      <w:r w:rsidRPr="00CE4AAF">
        <w:rPr>
          <w:sz w:val="36"/>
          <w:szCs w:val="36"/>
        </w:rPr>
        <w:t xml:space="preserve">April 3, 2021 </w:t>
      </w:r>
    </w:p>
    <w:p w14:paraId="5B260DAC" w14:textId="34AE425E" w:rsidR="00CA5E9B" w:rsidRPr="00CE4AAF" w:rsidRDefault="00CE4AAF">
      <w:pPr>
        <w:pStyle w:val="Title"/>
        <w:rPr>
          <w:sz w:val="36"/>
          <w:szCs w:val="36"/>
        </w:rPr>
      </w:pPr>
      <w:r w:rsidRPr="00CE4AAF">
        <w:rPr>
          <w:sz w:val="36"/>
          <w:szCs w:val="36"/>
        </w:rPr>
        <w:t xml:space="preserve">Melissa Johnson, </w:t>
      </w:r>
      <w:r w:rsidR="0028443C">
        <w:rPr>
          <w:sz w:val="36"/>
          <w:szCs w:val="36"/>
        </w:rPr>
        <w:t xml:space="preserve">WSLHA </w:t>
      </w:r>
      <w:r w:rsidRPr="00CE4AAF">
        <w:rPr>
          <w:sz w:val="36"/>
          <w:szCs w:val="36"/>
        </w:rPr>
        <w:t>Lobbyist</w:t>
      </w:r>
    </w:p>
    <w:p w14:paraId="230749A9" w14:textId="7ACF5E82" w:rsidR="00CE4AAF" w:rsidRPr="00CE4AAF" w:rsidRDefault="00CE4AAF" w:rsidP="00CE4AAF">
      <w:r>
        <w:rPr>
          <w:noProof/>
        </w:rPr>
        <mc:AlternateContent>
          <mc:Choice Requires="wps">
            <w:drawing>
              <wp:anchor distT="0" distB="0" distL="114300" distR="114300" simplePos="0" relativeHeight="251659264" behindDoc="0" locked="0" layoutInCell="1" allowOverlap="1" wp14:anchorId="0069A840" wp14:editId="0F3171BC">
                <wp:simplePos x="0" y="0"/>
                <wp:positionH relativeFrom="column">
                  <wp:posOffset>1174</wp:posOffset>
                </wp:positionH>
                <wp:positionV relativeFrom="paragraph">
                  <wp:posOffset>70570</wp:posOffset>
                </wp:positionV>
                <wp:extent cx="6990976" cy="0"/>
                <wp:effectExtent l="50800" t="38100" r="32385" b="76200"/>
                <wp:wrapNone/>
                <wp:docPr id="110" name="Straight Connector 110"/>
                <wp:cNvGraphicFramePr/>
                <a:graphic xmlns:a="http://schemas.openxmlformats.org/drawingml/2006/main">
                  <a:graphicData uri="http://schemas.microsoft.com/office/word/2010/wordprocessingShape">
                    <wps:wsp>
                      <wps:cNvCnPr/>
                      <wps:spPr>
                        <a:xfrm>
                          <a:off x="0" y="0"/>
                          <a:ext cx="699097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4338DAE" id="Straight Connector 1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55pt" to="550.5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" strokecolor="#4f81bd [3204]" strokeweight="2pt">
                <v:shadow on="t" color="black" opacity="24903f" origin=",.5" offset="0,.55556mm"/>
              </v:line>
            </w:pict>
          </mc:Fallback>
        </mc:AlternateContent>
      </w:r>
    </w:p>
    <w:p w14:paraId="144F682D" w14:textId="77777777" w:rsidR="00EB1275" w:rsidRDefault="00EB1275" w:rsidP="00EB1275">
      <w:pPr>
        <w:pStyle w:val="Heading1"/>
      </w:pPr>
      <w:r>
        <w:t>Last</w:t>
      </w:r>
      <w:r w:rsidRPr="000E1308">
        <w:t xml:space="preserve"> Week’s Highlights</w:t>
      </w:r>
    </w:p>
    <w:p w14:paraId="455C4A9B" w14:textId="77777777" w:rsidR="00EB1275" w:rsidRDefault="00EB1275" w:rsidP="00EB1275"/>
    <w:p w14:paraId="00A7085C" w14:textId="77777777" w:rsidR="00EB1275" w:rsidRDefault="00EB1275" w:rsidP="00EB1275">
      <w:r>
        <w:t>Week 12 of this 15-week session was devoted to fiscal issues.  The House Appropriations Committee and the Senate Ways &amp; Means Committee worked long days to meet the fiscal committee deadline on Friday, April 2</w:t>
      </w:r>
      <w:r w:rsidRPr="00350C22">
        <w:rPr>
          <w:vertAlign w:val="superscript"/>
        </w:rPr>
        <w:t>nd</w:t>
      </w:r>
      <w:r>
        <w:t>.  Both chambers will continue floor action for the next two weeks, in anticipation of the April 11</w:t>
      </w:r>
      <w:r w:rsidRPr="00526DC1">
        <w:rPr>
          <w:vertAlign w:val="superscript"/>
        </w:rPr>
        <w:t>th</w:t>
      </w:r>
      <w:r>
        <w:t xml:space="preserve"> Opposite House Floor Cutoff.  After that, the House and Senate will take up concurrence issues before the April 25</w:t>
      </w:r>
      <w:r w:rsidRPr="00526DC1">
        <w:rPr>
          <w:vertAlign w:val="superscript"/>
        </w:rPr>
        <w:t>th</w:t>
      </w:r>
      <w:r>
        <w:t xml:space="preserve"> adjournment. </w:t>
      </w:r>
    </w:p>
    <w:p w14:paraId="22F8620D" w14:textId="77777777" w:rsidR="00EB1275" w:rsidRDefault="00EB1275" w:rsidP="00EB1275"/>
    <w:p w14:paraId="2DD66225" w14:textId="7A8F6FC9" w:rsidR="00EB1275" w:rsidRDefault="00EB1275" w:rsidP="00EB1275">
      <w:r w:rsidRPr="00526DC1">
        <w:rPr>
          <w:b/>
          <w:bCs/>
        </w:rPr>
        <w:t>Budget votes.</w:t>
      </w:r>
      <w:r>
        <w:t xml:space="preserve">  The House and Senate passed their respective budgets this week</w:t>
      </w:r>
      <w:r>
        <w:t xml:space="preserve"> (the House is voting on their budget this afternoon)</w:t>
      </w:r>
      <w:r>
        <w:t xml:space="preserve">, teeing up the negotiations between the two chambers in the next three weeks.  Both budgets include some appropriations of the federal ARPA funding.  However, they also set aside a significant amount of that funding in order to do a deeper dive into how to appropriate those dollars.  We can expect to see more of the ARPA funding allocated in the final budget.  </w:t>
      </w:r>
    </w:p>
    <w:p w14:paraId="147FE71E" w14:textId="77777777" w:rsidR="00EB1275" w:rsidRDefault="00EB1275" w:rsidP="00EB1275"/>
    <w:p w14:paraId="09D2388A" w14:textId="77777777" w:rsidR="00EB1275" w:rsidRDefault="00EB1275" w:rsidP="00EB1275">
      <w:r>
        <w:rPr>
          <w:rFonts w:eastAsia="Times New Roman" w:cstheme="minorHAnsi"/>
          <w:color w:val="333333"/>
        </w:rPr>
        <w:t xml:space="preserve">Now that the House budget includes the </w:t>
      </w:r>
      <w:r w:rsidRPr="00950688">
        <w:rPr>
          <w:rFonts w:eastAsia="Times New Roman" w:cstheme="minorHAnsi"/>
          <w:b/>
          <w:bCs/>
          <w:color w:val="333333"/>
        </w:rPr>
        <w:t>budget proviso funding an actuarial study of the bill mandating insurance coverage for children’s hearing aid</w:t>
      </w:r>
      <w:r>
        <w:rPr>
          <w:rFonts w:eastAsia="Times New Roman" w:cstheme="minorHAnsi"/>
          <w:color w:val="333333"/>
        </w:rPr>
        <w:t xml:space="preserve">s, WSLHA will work to ensure that this proviso is included in the final negotiated budget.   </w:t>
      </w:r>
    </w:p>
    <w:p w14:paraId="60CFBEAA" w14:textId="77777777" w:rsidR="00EB1275" w:rsidRDefault="00EB1275" w:rsidP="00EB1275"/>
    <w:p w14:paraId="1CD26E9E" w14:textId="77777777" w:rsidR="00EB1275" w:rsidRDefault="00EB1275" w:rsidP="00EB1275">
      <w:r w:rsidRPr="009C6B78">
        <w:rPr>
          <w:b/>
          <w:bCs/>
        </w:rPr>
        <w:t>State of Emergency.</w:t>
      </w:r>
      <w:r>
        <w:t xml:space="preserve">  In a letter this week, 23 Republican House and Senate members asked legislative leaders on both sides of the aisle for help in terminating Governor Jay Inslee’s state of emergency before the 2021 session ends on April 25</w:t>
      </w:r>
      <w:r w:rsidRPr="009C6B78">
        <w:rPr>
          <w:vertAlign w:val="superscript"/>
        </w:rPr>
        <w:t>th</w:t>
      </w:r>
      <w:r>
        <w:t>.  Several bills seeking to curtail the governor’s emergency powers have been introduced this session, but they made little progress.  Earlier this year, the House and Senate both agreed to extend more than two dozen COVID-related emergency proclamations indefinitely, until the state of emergency ends.</w:t>
      </w:r>
    </w:p>
    <w:p w14:paraId="4FEA5FF1" w14:textId="77777777" w:rsidR="00EB1275" w:rsidRPr="00147D86" w:rsidRDefault="00EB1275" w:rsidP="00EB1275"/>
    <w:p w14:paraId="6D6F7165" w14:textId="77777777" w:rsidR="00EB1275" w:rsidRPr="00147D86" w:rsidRDefault="00EB1275" w:rsidP="00EB1275">
      <w:pPr>
        <w:rPr>
          <w:rFonts w:eastAsia="Times New Roman" w:cs="Times New Roman"/>
        </w:rPr>
      </w:pPr>
      <w:r w:rsidRPr="00147D86">
        <w:rPr>
          <w:b/>
          <w:bCs/>
        </w:rPr>
        <w:t>Wealth Tax.</w:t>
      </w:r>
      <w:r w:rsidRPr="00147D86">
        <w:t xml:space="preserve">  The House Finance Committee passed HB 1406, the wealth tax bill, on Wednesday.</w:t>
      </w:r>
      <w:r>
        <w:t xml:space="preserve">  </w:t>
      </w:r>
      <w:r w:rsidRPr="00147D86">
        <w:t xml:space="preserve">The original bill </w:t>
      </w:r>
      <w:r w:rsidRPr="00147D86">
        <w:rPr>
          <w:rFonts w:eastAsia="Times New Roman" w:cs="Times New Roman"/>
        </w:rPr>
        <w:t>established a 1% wealth tax on intangible financial assets of more than $1 billion and deposited this revenue into the state’s general fund.  It was amended in committee to provide a framework for determining the amount of tax due for an individual who dies before December 31</w:t>
      </w:r>
      <w:r w:rsidRPr="00147D86">
        <w:rPr>
          <w:rFonts w:eastAsia="Times New Roman" w:cs="Times New Roman"/>
          <w:vertAlign w:val="superscript"/>
        </w:rPr>
        <w:t>st</w:t>
      </w:r>
      <w:r w:rsidRPr="00147D86">
        <w:rPr>
          <w:rFonts w:eastAsia="Times New Roman" w:cs="Times New Roman"/>
        </w:rPr>
        <w:t xml:space="preserve"> of the tax year.  It also deposits the revenue into the Washington Tax Justice and Equity Fund created in the amendment.</w:t>
      </w:r>
      <w:r>
        <w:rPr>
          <w:rFonts w:eastAsia="Times New Roman" w:cs="Times New Roman"/>
        </w:rPr>
        <w:t xml:space="preserve">  It was referred to the Appropriations Committee.</w:t>
      </w:r>
    </w:p>
    <w:p w14:paraId="675E2F84" w14:textId="77777777" w:rsidR="00EB1275" w:rsidRPr="00DC104B" w:rsidRDefault="00EB1275" w:rsidP="00EB1275">
      <w:pPr>
        <w:pStyle w:val="Heading1"/>
        <w:rPr>
          <w:rFonts w:asciiTheme="minorHAnsi" w:hAnsiTheme="minorHAnsi"/>
        </w:rPr>
      </w:pPr>
      <w:r>
        <w:rPr>
          <w:rFonts w:asciiTheme="minorHAnsi" w:hAnsiTheme="minorHAnsi"/>
        </w:rPr>
        <w:t>Priority Bill Updates</w:t>
      </w:r>
    </w:p>
    <w:p w14:paraId="2351D6A9" w14:textId="77777777" w:rsidR="00EB1275" w:rsidRDefault="00EB1275" w:rsidP="00EB1275">
      <w:pPr>
        <w:rPr>
          <w:rFonts w:ascii="Cambria" w:hAnsi="Cambria"/>
        </w:rPr>
      </w:pPr>
    </w:p>
    <w:p w14:paraId="15A4E6F7" w14:textId="77777777" w:rsidR="00EB1275" w:rsidRPr="009731B8" w:rsidRDefault="00EB1275" w:rsidP="00EB1275">
      <w:pPr>
        <w:pStyle w:val="ListParagraph"/>
        <w:numPr>
          <w:ilvl w:val="0"/>
          <w:numId w:val="11"/>
        </w:numPr>
        <w:rPr>
          <w:rFonts w:ascii="Times New Roman" w:eastAsia="Times New Roman" w:hAnsi="Times New Roman" w:cs="Times New Roman"/>
        </w:rPr>
      </w:pPr>
      <w:r w:rsidRPr="009731B8">
        <w:rPr>
          <w:rFonts w:cs="Arial"/>
          <w:b/>
          <w:bCs/>
          <w:color w:val="333333"/>
          <w:shd w:val="clear" w:color="auto" w:fill="FFFFFF"/>
        </w:rPr>
        <w:t>HB 1196</w:t>
      </w:r>
      <w:r w:rsidRPr="009731B8">
        <w:rPr>
          <w:rFonts w:cs="Arial"/>
          <w:color w:val="333333"/>
          <w:shd w:val="clear" w:color="auto" w:fill="FFFFFF"/>
        </w:rPr>
        <w:t xml:space="preserve">, the bill that creates reimbursement parity for </w:t>
      </w:r>
      <w:r w:rsidRPr="009731B8">
        <w:rPr>
          <w:rFonts w:cs="Arial"/>
          <w:b/>
          <w:bCs/>
          <w:color w:val="333333"/>
          <w:shd w:val="clear" w:color="auto" w:fill="FFFFFF"/>
        </w:rPr>
        <w:t>audio-only consultations</w:t>
      </w:r>
      <w:r w:rsidRPr="009731B8">
        <w:rPr>
          <w:rFonts w:cs="Arial"/>
          <w:color w:val="333333"/>
          <w:shd w:val="clear" w:color="auto" w:fill="FFFFFF"/>
        </w:rPr>
        <w:t xml:space="preserve">, passed </w:t>
      </w:r>
      <w:r w:rsidRPr="009731B8">
        <w:rPr>
          <w:rFonts w:eastAsia="Times New Roman" w:cs="Calibri"/>
          <w:color w:val="000000"/>
        </w:rPr>
        <w:t xml:space="preserve">the Senate Ways &amp; Means Committee on Friday.  It was amended to clarify </w:t>
      </w:r>
      <w:r>
        <w:rPr>
          <w:rFonts w:eastAsia="Times New Roman" w:cs="Calibri"/>
          <w:color w:val="000000"/>
        </w:rPr>
        <w:t xml:space="preserve">that this bill </w:t>
      </w:r>
      <w:r w:rsidRPr="009731B8">
        <w:rPr>
          <w:rFonts w:ascii="Times New Roman" w:eastAsia="Times New Roman" w:hAnsi="Times New Roman" w:cs="Times New Roman"/>
        </w:rPr>
        <w:t>does not alter the Health Care Authority's responsibility to report potential Medicaid fraud to the Attorney General's Office.</w:t>
      </w:r>
    </w:p>
    <w:p w14:paraId="723D55D6" w14:textId="77777777" w:rsidR="00EB1275" w:rsidRDefault="00EB1275" w:rsidP="00EB1275">
      <w:pPr>
        <w:rPr>
          <w:rFonts w:cs="Arial"/>
          <w:color w:val="333333"/>
          <w:shd w:val="clear" w:color="auto" w:fill="FFFFFF"/>
        </w:rPr>
      </w:pPr>
    </w:p>
    <w:p w14:paraId="3612F737" w14:textId="0EAA216A" w:rsidR="00EB1275" w:rsidRPr="0058182C" w:rsidRDefault="00EB1275" w:rsidP="00EB1275">
      <w:pPr>
        <w:pStyle w:val="ListParagraph"/>
        <w:numPr>
          <w:ilvl w:val="0"/>
          <w:numId w:val="10"/>
        </w:numPr>
        <w:rPr>
          <w:rFonts w:cs="Arial"/>
          <w:color w:val="333333"/>
          <w:shd w:val="clear" w:color="auto" w:fill="FFFFFF"/>
        </w:rPr>
      </w:pPr>
      <w:r w:rsidRPr="006620E4">
        <w:rPr>
          <w:rFonts w:cs="Arial"/>
          <w:b/>
          <w:bCs/>
          <w:color w:val="333333"/>
          <w:shd w:val="clear" w:color="auto" w:fill="FFFFFF"/>
        </w:rPr>
        <w:t xml:space="preserve">SB 5169, </w:t>
      </w:r>
      <w:r w:rsidRPr="006620E4">
        <w:rPr>
          <w:rFonts w:cs="Arial"/>
          <w:color w:val="333333"/>
          <w:shd w:val="clear" w:color="auto" w:fill="FFFFFF"/>
        </w:rPr>
        <w:t xml:space="preserve">the bill providing </w:t>
      </w:r>
      <w:r w:rsidRPr="004C51CF">
        <w:rPr>
          <w:rFonts w:cs="Arial"/>
          <w:b/>
          <w:bCs/>
          <w:color w:val="333333"/>
          <w:shd w:val="clear" w:color="auto" w:fill="FFFFFF"/>
        </w:rPr>
        <w:t>reimbursement</w:t>
      </w:r>
      <w:r w:rsidRPr="006620E4">
        <w:rPr>
          <w:rFonts w:cs="Arial"/>
          <w:color w:val="333333"/>
          <w:shd w:val="clear" w:color="auto" w:fill="FFFFFF"/>
        </w:rPr>
        <w:t xml:space="preserve"> to health care providers for the cost of</w:t>
      </w:r>
      <w:r w:rsidRPr="006620E4">
        <w:rPr>
          <w:rFonts w:cs="Arial"/>
          <w:b/>
          <w:bCs/>
          <w:color w:val="333333"/>
          <w:shd w:val="clear" w:color="auto" w:fill="FFFFFF"/>
        </w:rPr>
        <w:t xml:space="preserve"> PPE</w:t>
      </w:r>
      <w:r w:rsidRPr="006620E4">
        <w:rPr>
          <w:rFonts w:cs="Arial"/>
          <w:color w:val="333333"/>
          <w:shd w:val="clear" w:color="auto" w:fill="FFFFFF"/>
        </w:rPr>
        <w:t xml:space="preserve"> when treating patients in person, </w:t>
      </w:r>
      <w:r>
        <w:rPr>
          <w:rFonts w:cs="Arial"/>
          <w:color w:val="333333"/>
          <w:shd w:val="clear" w:color="auto" w:fill="FFFFFF"/>
        </w:rPr>
        <w:t xml:space="preserve">is </w:t>
      </w:r>
      <w:r>
        <w:rPr>
          <w:rFonts w:eastAsia="Times New Roman" w:cs="Calibri"/>
          <w:color w:val="000000"/>
        </w:rPr>
        <w:t>now on the House second reading calendar.</w:t>
      </w:r>
    </w:p>
    <w:p w14:paraId="10A2D838" w14:textId="77777777" w:rsidR="00EB1275" w:rsidRPr="00EB0E1D" w:rsidRDefault="00EB1275" w:rsidP="00EB1275">
      <w:pPr>
        <w:pStyle w:val="ListParagraph"/>
        <w:rPr>
          <w:rFonts w:cs="Arial"/>
          <w:color w:val="333333"/>
          <w:shd w:val="clear" w:color="auto" w:fill="FFFFFF"/>
        </w:rPr>
      </w:pPr>
    </w:p>
    <w:p w14:paraId="524D8AA6" w14:textId="77777777" w:rsidR="00EB1275" w:rsidRDefault="00EB1275" w:rsidP="00EB1275">
      <w:pPr>
        <w:pStyle w:val="ListParagraph"/>
        <w:numPr>
          <w:ilvl w:val="0"/>
          <w:numId w:val="10"/>
        </w:numPr>
        <w:rPr>
          <w:rFonts w:eastAsia="Times New Roman" w:cs="Times New Roman"/>
        </w:rPr>
      </w:pPr>
      <w:r w:rsidRPr="00EB1717">
        <w:rPr>
          <w:rFonts w:cs="Arial"/>
          <w:b/>
          <w:bCs/>
          <w:color w:val="333333"/>
          <w:shd w:val="clear" w:color="auto" w:fill="FFFFFF"/>
        </w:rPr>
        <w:t xml:space="preserve">SB 5229, </w:t>
      </w:r>
      <w:r w:rsidRPr="00EB1717">
        <w:rPr>
          <w:rFonts w:cs="Arial"/>
          <w:color w:val="333333"/>
          <w:shd w:val="clear" w:color="auto" w:fill="FFFFFF"/>
        </w:rPr>
        <w:t xml:space="preserve">the legislation that creates a </w:t>
      </w:r>
      <w:r w:rsidRPr="00EB1717">
        <w:rPr>
          <w:rFonts w:cs="Arial"/>
          <w:b/>
          <w:bCs/>
          <w:color w:val="333333"/>
          <w:shd w:val="clear" w:color="auto" w:fill="FFFFFF"/>
        </w:rPr>
        <w:t>health equity continuing education</w:t>
      </w:r>
      <w:r w:rsidRPr="00EB1717">
        <w:rPr>
          <w:rFonts w:cs="Arial"/>
          <w:color w:val="333333"/>
          <w:shd w:val="clear" w:color="auto" w:fill="FFFFFF"/>
        </w:rPr>
        <w:t xml:space="preserve"> requirement for health care providers, </w:t>
      </w:r>
      <w:r>
        <w:rPr>
          <w:rFonts w:cs="Arial"/>
          <w:color w:val="333333"/>
          <w:shd w:val="clear" w:color="auto" w:fill="FFFFFF"/>
        </w:rPr>
        <w:t xml:space="preserve">has </w:t>
      </w:r>
      <w:r w:rsidRPr="007C4182">
        <w:rPr>
          <w:rFonts w:cs="Arial"/>
          <w:b/>
          <w:bCs/>
          <w:color w:val="333333"/>
          <w:shd w:val="clear" w:color="auto" w:fill="FFFFFF"/>
        </w:rPr>
        <w:t>passed the House</w:t>
      </w:r>
      <w:r w:rsidRPr="00EB1717">
        <w:rPr>
          <w:rFonts w:cs="Arial"/>
          <w:color w:val="333333"/>
          <w:shd w:val="clear" w:color="auto" w:fill="FFFFFF"/>
        </w:rPr>
        <w:t xml:space="preserve">.  </w:t>
      </w:r>
      <w:r>
        <w:rPr>
          <w:rFonts w:eastAsia="Times New Roman" w:cs="Times New Roman"/>
        </w:rPr>
        <w:t>It now must return to the Senate for a vote to concur in the House amendment.</w:t>
      </w:r>
    </w:p>
    <w:p w14:paraId="03CCE5E3" w14:textId="77777777" w:rsidR="00EB1275" w:rsidRPr="006F289E" w:rsidRDefault="00EB1275" w:rsidP="00EB1275">
      <w:pPr>
        <w:pStyle w:val="ListParagraph"/>
        <w:rPr>
          <w:rFonts w:eastAsia="Times New Roman" w:cs="Times New Roman"/>
        </w:rPr>
      </w:pPr>
    </w:p>
    <w:p w14:paraId="669BF84D" w14:textId="7F237771" w:rsidR="00EB1275" w:rsidRPr="00D3784C" w:rsidRDefault="00EB1275" w:rsidP="00EB1275">
      <w:pPr>
        <w:pStyle w:val="ListParagraph"/>
        <w:numPr>
          <w:ilvl w:val="0"/>
          <w:numId w:val="10"/>
        </w:numPr>
        <w:rPr>
          <w:rFonts w:cs="Arial"/>
          <w:color w:val="333333"/>
          <w:shd w:val="clear" w:color="auto" w:fill="FFFFFF"/>
        </w:rPr>
      </w:pPr>
      <w:r w:rsidRPr="004C51CF">
        <w:rPr>
          <w:b/>
          <w:bCs/>
          <w:color w:val="000000"/>
        </w:rPr>
        <w:t>SB 5284</w:t>
      </w:r>
      <w:r>
        <w:rPr>
          <w:b/>
          <w:bCs/>
          <w:color w:val="000000"/>
        </w:rPr>
        <w:t xml:space="preserve">, </w:t>
      </w:r>
      <w:r>
        <w:rPr>
          <w:color w:val="000000"/>
        </w:rPr>
        <w:t xml:space="preserve">the </w:t>
      </w:r>
      <w:r w:rsidRPr="004C51CF">
        <w:rPr>
          <w:color w:val="000000"/>
        </w:rPr>
        <w:t xml:space="preserve">bill </w:t>
      </w:r>
      <w:r w:rsidRPr="004C51CF">
        <w:rPr>
          <w:rFonts w:eastAsia="Times New Roman" w:cs="Times New Roman"/>
          <w:b/>
          <w:bCs/>
        </w:rPr>
        <w:t>eliminat</w:t>
      </w:r>
      <w:r>
        <w:rPr>
          <w:rFonts w:eastAsia="Times New Roman" w:cs="Times New Roman"/>
          <w:b/>
          <w:bCs/>
        </w:rPr>
        <w:t xml:space="preserve">ing </w:t>
      </w:r>
      <w:r w:rsidRPr="004C51CF">
        <w:rPr>
          <w:rFonts w:eastAsia="Times New Roman" w:cs="Times New Roman"/>
          <w:b/>
          <w:bCs/>
        </w:rPr>
        <w:t>subminimum wage</w:t>
      </w:r>
      <w:r w:rsidRPr="004C51CF">
        <w:rPr>
          <w:rFonts w:eastAsia="Times New Roman" w:cs="Times New Roman"/>
        </w:rPr>
        <w:t xml:space="preserve"> certificates for people with disabilities after July 31, 202</w:t>
      </w:r>
      <w:r>
        <w:rPr>
          <w:rFonts w:eastAsia="Times New Roman" w:cs="Times New Roman"/>
        </w:rPr>
        <w:t xml:space="preserve">3, </w:t>
      </w:r>
      <w:r w:rsidRPr="00D3784C">
        <w:rPr>
          <w:rFonts w:eastAsia="Times New Roman" w:cs="Calibri"/>
          <w:color w:val="000000"/>
        </w:rPr>
        <w:t>is now on the Senate second reading calendar.</w:t>
      </w:r>
    </w:p>
    <w:p w14:paraId="08917CB7" w14:textId="77777777" w:rsidR="00EB1275" w:rsidRPr="00403F1B" w:rsidRDefault="00EB1275" w:rsidP="00EB1275">
      <w:pPr>
        <w:pStyle w:val="ListParagraph"/>
        <w:rPr>
          <w:rFonts w:eastAsia="Times New Roman" w:cs="Times New Roman"/>
        </w:rPr>
      </w:pPr>
    </w:p>
    <w:p w14:paraId="506A2AAF" w14:textId="77777777" w:rsidR="00EB1275" w:rsidRDefault="00EB1275" w:rsidP="00EB1275">
      <w:pPr>
        <w:pStyle w:val="Heading1"/>
      </w:pPr>
      <w:r>
        <w:t>This Week’s Events</w:t>
      </w:r>
    </w:p>
    <w:p w14:paraId="13F449E1" w14:textId="77777777" w:rsidR="00EB1275" w:rsidRDefault="00EB1275" w:rsidP="00EB1275"/>
    <w:p w14:paraId="1DC2E919" w14:textId="77777777" w:rsidR="00EB1275" w:rsidRPr="008760A0" w:rsidRDefault="00EB1275" w:rsidP="00EB1275">
      <w:pPr>
        <w:contextualSpacing/>
        <w:rPr>
          <w:rFonts w:cstheme="minorHAnsi"/>
        </w:rPr>
      </w:pPr>
      <w:r>
        <w:t xml:space="preserve">This week, </w:t>
      </w:r>
      <w:r>
        <w:rPr>
          <w:rFonts w:cstheme="minorHAnsi"/>
        </w:rPr>
        <w:t>it’s back to full-time floor action for the House and Senate to meet the opposite house cutoff on April 11</w:t>
      </w:r>
      <w:r w:rsidRPr="00CC113E">
        <w:rPr>
          <w:rFonts w:cstheme="minorHAnsi"/>
          <w:vertAlign w:val="superscript"/>
        </w:rPr>
        <w:t>th</w:t>
      </w:r>
      <w:r>
        <w:rPr>
          <w:rFonts w:cstheme="minorHAnsi"/>
        </w:rPr>
        <w:t>.  In addition, budget negotiations will begin in earnest between the House and Senate.  The Legislature is scheduled to adjourn on April 25</w:t>
      </w:r>
      <w:r w:rsidRPr="00CC113E">
        <w:rPr>
          <w:rFonts w:cstheme="minorHAnsi"/>
          <w:vertAlign w:val="superscript"/>
        </w:rPr>
        <w:t>th</w:t>
      </w:r>
      <w:r>
        <w:rPr>
          <w:rFonts w:cstheme="minorHAnsi"/>
        </w:rPr>
        <w:t xml:space="preserve">. </w:t>
      </w:r>
    </w:p>
    <w:p w14:paraId="0EFE9AF7" w14:textId="77777777" w:rsidR="00CA5E9B" w:rsidRDefault="00CA5E9B"/>
    <w:p w14:paraId="588BB98A" w14:textId="77777777" w:rsidR="00CA5E9B" w:rsidRDefault="00503228">
      <w:r>
        <w:rPr>
          <w:noProof/>
        </w:rPr>
        <w:pict w14:anchorId="6D47B38B">
          <v:rect id="_x0000_i1025" alt="" style="width:468pt;height:.05pt;mso-width-percent:0;mso-height-percent:0;mso-width-percent:0;mso-height-percent:0" o:hralign="center" o:hrstd="t" o:hr="t" fillcolor="#aca899" stroked="f"/>
        </w:pict>
      </w:r>
    </w:p>
    <w:p w14:paraId="0359CBBD" w14:textId="77777777" w:rsidR="00CA5E9B" w:rsidRDefault="00CA5E9B"/>
    <w:sectPr w:rsidR="00CA5E9B" w:rsidSect="002A7CED">
      <w:footerReference w:type="default" r:id="rId7"/>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A3ADD" w14:textId="77777777" w:rsidR="00503228" w:rsidRDefault="00503228">
      <w:r>
        <w:separator/>
      </w:r>
    </w:p>
  </w:endnote>
  <w:endnote w:type="continuationSeparator" w:id="0">
    <w:p w14:paraId="0BEEF198" w14:textId="77777777" w:rsidR="00503228" w:rsidRDefault="0050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4B96D" w14:textId="77777777" w:rsidR="00CA5E9B" w:rsidRDefault="00503228">
    <w:pPr>
      <w:spacing w:before="240" w:after="240"/>
    </w:pPr>
    <w:r>
      <w:rPr>
        <w:color w:val="000000"/>
      </w:rPr>
      <w:t>Detail Report</w:t>
    </w:r>
    <w:r>
      <w:rPr>
        <w:color w:val="000000"/>
      </w:rPr>
      <w:br/>
      <w:t>April 3, 2021</w:t>
    </w:r>
    <w:r>
      <w:rPr>
        <w:color w:val="000000"/>
      </w:rPr>
      <w:br/>
      <w:t xml:space="preserve">Page </w:t>
    </w:r>
    <w:r>
      <w:fldChar w:fldCharType="begin"/>
    </w:r>
    <w:r>
      <w:instrText>PAGE</w:instrText>
    </w:r>
    <w:r>
      <w:fldChar w:fldCharType="separate"/>
    </w:r>
    <w:r w:rsidR="00CE4AAF">
      <w:rPr>
        <w:noProof/>
      </w:rPr>
      <w:t>1</w:t>
    </w:r>
    <w:r>
      <w:fldChar w:fldCharType="end"/>
    </w:r>
    <w:r>
      <w:rPr>
        <w:color w:val="000000"/>
      </w:rPr>
      <w:t xml:space="preserve"> of </w:t>
    </w:r>
    <w:r>
      <w:fldChar w:fldCharType="begin"/>
    </w:r>
    <w:r>
      <w:instrText>NUMPAGES</w:instrText>
    </w:r>
    <w:r>
      <w:fldChar w:fldCharType="separate"/>
    </w:r>
    <w:r w:rsidR="00CE4A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87D28" w14:textId="77777777" w:rsidR="00503228" w:rsidRDefault="00503228">
      <w:r>
        <w:separator/>
      </w:r>
    </w:p>
  </w:footnote>
  <w:footnote w:type="continuationSeparator" w:id="0">
    <w:p w14:paraId="2CE224AB" w14:textId="77777777" w:rsidR="00503228" w:rsidRDefault="00503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D4E72"/>
    <w:multiLevelType w:val="hybridMultilevel"/>
    <w:tmpl w:val="BC8E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D216572"/>
    <w:multiLevelType w:val="hybridMultilevel"/>
    <w:tmpl w:val="4B64B3B4"/>
    <w:lvl w:ilvl="0" w:tplc="16983126">
      <w:start w:val="1"/>
      <w:numFmt w:val="decimal"/>
      <w:lvlText w:val="%1."/>
      <w:lvlJc w:val="left"/>
      <w:pPr>
        <w:ind w:left="720" w:hanging="360"/>
      </w:pPr>
    </w:lvl>
    <w:lvl w:ilvl="1" w:tplc="16983126" w:tentative="1">
      <w:start w:val="1"/>
      <w:numFmt w:val="lowerLetter"/>
      <w:lvlText w:val="%2."/>
      <w:lvlJc w:val="left"/>
      <w:pPr>
        <w:ind w:left="1440" w:hanging="360"/>
      </w:pPr>
    </w:lvl>
    <w:lvl w:ilvl="2" w:tplc="16983126" w:tentative="1">
      <w:start w:val="1"/>
      <w:numFmt w:val="lowerRoman"/>
      <w:lvlText w:val="%3."/>
      <w:lvlJc w:val="right"/>
      <w:pPr>
        <w:ind w:left="2160" w:hanging="180"/>
      </w:pPr>
    </w:lvl>
    <w:lvl w:ilvl="3" w:tplc="16983126" w:tentative="1">
      <w:start w:val="1"/>
      <w:numFmt w:val="decimal"/>
      <w:lvlText w:val="%4."/>
      <w:lvlJc w:val="left"/>
      <w:pPr>
        <w:ind w:left="2880" w:hanging="360"/>
      </w:pPr>
    </w:lvl>
    <w:lvl w:ilvl="4" w:tplc="16983126" w:tentative="1">
      <w:start w:val="1"/>
      <w:numFmt w:val="lowerLetter"/>
      <w:lvlText w:val="%5."/>
      <w:lvlJc w:val="left"/>
      <w:pPr>
        <w:ind w:left="3600" w:hanging="360"/>
      </w:pPr>
    </w:lvl>
    <w:lvl w:ilvl="5" w:tplc="16983126" w:tentative="1">
      <w:start w:val="1"/>
      <w:numFmt w:val="lowerRoman"/>
      <w:lvlText w:val="%6."/>
      <w:lvlJc w:val="right"/>
      <w:pPr>
        <w:ind w:left="4320" w:hanging="180"/>
      </w:pPr>
    </w:lvl>
    <w:lvl w:ilvl="6" w:tplc="16983126" w:tentative="1">
      <w:start w:val="1"/>
      <w:numFmt w:val="decimal"/>
      <w:lvlText w:val="%7."/>
      <w:lvlJc w:val="left"/>
      <w:pPr>
        <w:ind w:left="5040" w:hanging="360"/>
      </w:pPr>
    </w:lvl>
    <w:lvl w:ilvl="7" w:tplc="16983126" w:tentative="1">
      <w:start w:val="1"/>
      <w:numFmt w:val="lowerLetter"/>
      <w:lvlText w:val="%8."/>
      <w:lvlJc w:val="left"/>
      <w:pPr>
        <w:ind w:left="5760" w:hanging="360"/>
      </w:pPr>
    </w:lvl>
    <w:lvl w:ilvl="8" w:tplc="16983126"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E887965"/>
    <w:multiLevelType w:val="hybridMultilevel"/>
    <w:tmpl w:val="3308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AA858A3"/>
    <w:multiLevelType w:val="hybridMultilevel"/>
    <w:tmpl w:val="5808B1FE"/>
    <w:lvl w:ilvl="0" w:tplc="829497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2"/>
  </w:num>
  <w:num w:numId="6">
    <w:abstractNumId w:val="1"/>
  </w:num>
  <w:num w:numId="7">
    <w:abstractNumId w:val="4"/>
  </w:num>
  <w:num w:numId="8">
    <w:abstractNumId w:val="10"/>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80127"/>
    <w:rsid w:val="00190762"/>
    <w:rsid w:val="00253FC7"/>
    <w:rsid w:val="0028443C"/>
    <w:rsid w:val="002A7CED"/>
    <w:rsid w:val="00332050"/>
    <w:rsid w:val="00403577"/>
    <w:rsid w:val="00503228"/>
    <w:rsid w:val="00624664"/>
    <w:rsid w:val="006E2870"/>
    <w:rsid w:val="007C4D0A"/>
    <w:rsid w:val="00843371"/>
    <w:rsid w:val="00A93BCE"/>
    <w:rsid w:val="00AC30E5"/>
    <w:rsid w:val="00CA5E9B"/>
    <w:rsid w:val="00CE4AAF"/>
    <w:rsid w:val="00D86979"/>
    <w:rsid w:val="00D916BB"/>
    <w:rsid w:val="00EB1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8C290"/>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1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Melissa</cp:lastModifiedBy>
  <cp:revision>3</cp:revision>
  <dcterms:created xsi:type="dcterms:W3CDTF">2021-04-03T23:01:00Z</dcterms:created>
  <dcterms:modified xsi:type="dcterms:W3CDTF">2021-04-03T23:01:00Z</dcterms:modified>
  <cp:category/>
</cp:coreProperties>
</file>